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AD1806">
            <w:pPr>
              <w:spacing w:after="120"/>
              <w:jc w:val="center"/>
              <w:rPr>
                <w:color w:val="555555"/>
                <w:sz w:val="32"/>
                <w:szCs w:val="28"/>
              </w:rPr>
            </w:pPr>
            <w:hyperlink r:id="rId6" w:history="1">
              <w:r w:rsidR="00AB4268" w:rsidRPr="00AB4268">
                <w:rPr>
                  <w:rStyle w:val="Hyperlink"/>
                  <w:sz w:val="28"/>
                </w:rPr>
                <w:t>https://tc.computer.org/tcmc/</w:t>
              </w:r>
            </w:hyperlink>
          </w:p>
          <w:p w14:paraId="4FA64F20" w14:textId="125E6ABD" w:rsidR="0028193F" w:rsidRDefault="0028193F">
            <w:pPr>
              <w:spacing w:after="120"/>
              <w:jc w:val="center"/>
              <w:rPr>
                <w:b/>
                <w:bCs/>
                <w:color w:val="000000"/>
              </w:rPr>
            </w:pPr>
            <w:r>
              <w:rPr>
                <w:b/>
                <w:bCs/>
                <w:color w:val="000000"/>
                <w:sz w:val="28"/>
                <w:szCs w:val="28"/>
              </w:rPr>
              <w:t xml:space="preserve">Welcome to the </w:t>
            </w:r>
            <w:r w:rsidR="00AD1806">
              <w:rPr>
                <w:b/>
                <w:bCs/>
                <w:color w:val="000000"/>
                <w:sz w:val="28"/>
                <w:szCs w:val="28"/>
              </w:rPr>
              <w:t>March</w:t>
            </w:r>
            <w:r w:rsidR="000756D8">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100208">
              <w:rPr>
                <w:b/>
                <w:bCs/>
                <w:sz w:val="28"/>
                <w:szCs w:val="28"/>
              </w:rPr>
              <w:t>2</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7"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3041F72F" w14:textId="77777777" w:rsidR="0028193F" w:rsidRDefault="0028193F">
            <w:pPr>
              <w:spacing w:after="120"/>
              <w:rPr>
                <w:color w:val="000000"/>
                <w:sz w:val="28"/>
                <w:szCs w:val="28"/>
              </w:rPr>
            </w:pPr>
            <w:r>
              <w:rPr>
                <w:color w:val="000000"/>
                <w:sz w:val="28"/>
                <w:szCs w:val="28"/>
              </w:rPr>
              <w:t>This month's topics include:</w:t>
            </w:r>
          </w:p>
          <w:p w14:paraId="6DB4908D" w14:textId="77777777" w:rsidR="0028193F" w:rsidRDefault="0028193F">
            <w:pPr>
              <w:spacing w:after="120"/>
              <w:rPr>
                <w:color w:val="000000"/>
                <w:sz w:val="28"/>
                <w:szCs w:val="28"/>
              </w:rPr>
            </w:pPr>
            <w:r>
              <w:rPr>
                <w:color w:val="000000"/>
                <w:sz w:val="28"/>
                <w:szCs w:val="28"/>
              </w:rPr>
              <w:t>Call for Papers:</w:t>
            </w:r>
          </w:p>
          <w:p w14:paraId="71DDCC62" w14:textId="4A29ED60" w:rsidR="00FB29D4" w:rsidRDefault="00FB29D4" w:rsidP="00AD183A">
            <w:pPr>
              <w:pStyle w:val="ListParagraph"/>
              <w:numPr>
                <w:ilvl w:val="0"/>
                <w:numId w:val="2"/>
              </w:numPr>
              <w:rPr>
                <w:rFonts w:ascii="Calibri" w:hAnsi="Calibri"/>
                <w:sz w:val="28"/>
                <w:szCs w:val="28"/>
              </w:rPr>
            </w:pPr>
            <w:r>
              <w:rPr>
                <w:rFonts w:ascii="Calibri" w:hAnsi="Calibri"/>
                <w:sz w:val="28"/>
                <w:szCs w:val="28"/>
              </w:rPr>
              <w:t>IEEE IRI 2022</w:t>
            </w:r>
          </w:p>
          <w:p w14:paraId="45846620" w14:textId="7AC98A9C" w:rsidR="0005523E" w:rsidRDefault="0005523E" w:rsidP="00AD183A">
            <w:pPr>
              <w:pStyle w:val="ListParagraph"/>
              <w:numPr>
                <w:ilvl w:val="0"/>
                <w:numId w:val="2"/>
              </w:numPr>
              <w:rPr>
                <w:rFonts w:ascii="Calibri" w:hAnsi="Calibri"/>
                <w:sz w:val="28"/>
                <w:szCs w:val="28"/>
              </w:rPr>
            </w:pPr>
            <w:r>
              <w:rPr>
                <w:rFonts w:ascii="Calibri" w:hAnsi="Calibri"/>
                <w:sz w:val="28"/>
                <w:szCs w:val="28"/>
              </w:rPr>
              <w:t>ACM MM 202</w:t>
            </w:r>
            <w:r>
              <w:rPr>
                <w:rFonts w:ascii="Calibri" w:hAnsi="Calibri"/>
                <w:sz w:val="28"/>
                <w:szCs w:val="28"/>
              </w:rPr>
              <w:t>2</w:t>
            </w:r>
          </w:p>
          <w:p w14:paraId="3E4F5D7E" w14:textId="10BFBFB9" w:rsidR="009C17B2" w:rsidRDefault="009C17B2" w:rsidP="009C17B2">
            <w:pPr>
              <w:pStyle w:val="ListParagraph"/>
              <w:numPr>
                <w:ilvl w:val="0"/>
                <w:numId w:val="2"/>
              </w:numPr>
              <w:rPr>
                <w:rFonts w:ascii="Calibri" w:hAnsi="Calibri"/>
                <w:sz w:val="28"/>
                <w:szCs w:val="28"/>
              </w:rPr>
            </w:pPr>
            <w:r>
              <w:rPr>
                <w:rFonts w:ascii="Calibri" w:hAnsi="Calibri"/>
                <w:sz w:val="28"/>
                <w:szCs w:val="28"/>
              </w:rPr>
              <w:t xml:space="preserve">IEEE </w:t>
            </w:r>
            <w:r w:rsidRPr="009748EB">
              <w:rPr>
                <w:rFonts w:ascii="Calibri" w:hAnsi="Calibri"/>
                <w:sz w:val="28"/>
                <w:szCs w:val="28"/>
              </w:rPr>
              <w:t>VL/HCC</w:t>
            </w:r>
            <w:r>
              <w:rPr>
                <w:rFonts w:ascii="Calibri" w:hAnsi="Calibri"/>
                <w:sz w:val="28"/>
                <w:szCs w:val="28"/>
              </w:rPr>
              <w:t xml:space="preserve"> 2022</w:t>
            </w:r>
          </w:p>
          <w:p w14:paraId="1A9BB1F4" w14:textId="332D6439" w:rsidR="00744C7F" w:rsidRDefault="00744C7F" w:rsidP="00AD183A">
            <w:pPr>
              <w:pStyle w:val="ListParagraph"/>
              <w:numPr>
                <w:ilvl w:val="0"/>
                <w:numId w:val="2"/>
              </w:numPr>
              <w:rPr>
                <w:rFonts w:ascii="Calibri" w:hAnsi="Calibri"/>
                <w:sz w:val="28"/>
                <w:szCs w:val="28"/>
              </w:rPr>
            </w:pPr>
            <w:r w:rsidRPr="00744C7F">
              <w:rPr>
                <w:rFonts w:ascii="Calibri" w:hAnsi="Calibri"/>
                <w:sz w:val="28"/>
                <w:szCs w:val="28"/>
              </w:rPr>
              <w:t>IEEE Computer magazine SI</w:t>
            </w:r>
          </w:p>
          <w:p w14:paraId="6C462812" w14:textId="4DD90B84"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7288A94D" w14:textId="0B401D45" w:rsidR="00084BFC" w:rsidRDefault="00D93EF3" w:rsidP="004035C5">
            <w:pPr>
              <w:pStyle w:val="ListParagraph"/>
              <w:numPr>
                <w:ilvl w:val="0"/>
                <w:numId w:val="2"/>
              </w:numPr>
              <w:rPr>
                <w:rFonts w:ascii="Calibri" w:hAnsi="Calibri"/>
                <w:sz w:val="28"/>
                <w:szCs w:val="28"/>
              </w:rPr>
            </w:pPr>
            <w:r>
              <w:rPr>
                <w:rFonts w:ascii="Calibri" w:hAnsi="Calibri"/>
                <w:sz w:val="28"/>
                <w:szCs w:val="28"/>
              </w:rPr>
              <w:t xml:space="preserve">IEEE </w:t>
            </w:r>
            <w:proofErr w:type="spellStart"/>
            <w:r>
              <w:rPr>
                <w:rFonts w:ascii="Calibri" w:hAnsi="Calibri"/>
                <w:sz w:val="28"/>
                <w:szCs w:val="28"/>
              </w:rPr>
              <w:t>MultiMedia</w:t>
            </w:r>
            <w:proofErr w:type="spellEnd"/>
            <w:r>
              <w:rPr>
                <w:rFonts w:ascii="Calibri" w:hAnsi="Calibri"/>
                <w:sz w:val="28"/>
                <w:szCs w:val="28"/>
              </w:rPr>
              <w:t xml:space="preserve"> (</w:t>
            </w:r>
            <w:r w:rsidRPr="009852BD">
              <w:rPr>
                <w:rFonts w:ascii="Calibri" w:hAnsi="Calibri"/>
                <w:sz w:val="28"/>
                <w:szCs w:val="28"/>
              </w:rPr>
              <w:t xml:space="preserve">Impact Factor: </w:t>
            </w:r>
            <w:r w:rsidR="001F0AB5">
              <w:rPr>
                <w:rFonts w:ascii="Calibri" w:hAnsi="Calibri"/>
                <w:sz w:val="28"/>
                <w:szCs w:val="28"/>
              </w:rPr>
              <w:t>5</w:t>
            </w:r>
            <w:r w:rsidRPr="009852BD">
              <w:rPr>
                <w:rFonts w:ascii="Calibri" w:hAnsi="Calibri"/>
                <w:sz w:val="28"/>
                <w:szCs w:val="28"/>
              </w:rPr>
              <w:t>.</w:t>
            </w:r>
            <w:r w:rsidR="001F0AB5">
              <w:rPr>
                <w:rFonts w:ascii="Calibri" w:hAnsi="Calibri"/>
                <w:sz w:val="28"/>
                <w:szCs w:val="28"/>
              </w:rPr>
              <w:t>633</w:t>
            </w:r>
            <w:r>
              <w:rPr>
                <w:rFonts w:ascii="Calibri" w:hAnsi="Calibri"/>
                <w:sz w:val="28"/>
                <w:szCs w:val="28"/>
              </w:rPr>
              <w:t>)</w:t>
            </w:r>
          </w:p>
          <w:p w14:paraId="35AF9079" w14:textId="46BD9A7D" w:rsidR="00181920" w:rsidRDefault="00181920" w:rsidP="00181920">
            <w:pPr>
              <w:rPr>
                <w:rFonts w:ascii="Calibri" w:hAnsi="Calibri"/>
                <w:sz w:val="28"/>
                <w:szCs w:val="28"/>
              </w:rPr>
            </w:pPr>
          </w:p>
          <w:p w14:paraId="0F660922" w14:textId="77777777" w:rsidR="00181920" w:rsidRDefault="00181920" w:rsidP="00181920">
            <w:pPr>
              <w:rPr>
                <w:color w:val="000000"/>
                <w:sz w:val="28"/>
                <w:szCs w:val="28"/>
              </w:rPr>
            </w:pPr>
            <w:r w:rsidRPr="00FC6BE0">
              <w:rPr>
                <w:color w:val="000000"/>
                <w:sz w:val="28"/>
                <w:szCs w:val="28"/>
              </w:rPr>
              <w:t>Call for Nominations</w:t>
            </w:r>
          </w:p>
          <w:p w14:paraId="3B083E57" w14:textId="796DEF00" w:rsidR="00181920" w:rsidRPr="00C9529D" w:rsidRDefault="00181920" w:rsidP="00181920">
            <w:pPr>
              <w:pStyle w:val="ListParagraph"/>
              <w:numPr>
                <w:ilvl w:val="0"/>
                <w:numId w:val="2"/>
              </w:numPr>
              <w:rPr>
                <w:color w:val="000000"/>
                <w:sz w:val="28"/>
                <w:szCs w:val="28"/>
              </w:rPr>
            </w:pPr>
            <w:r w:rsidRPr="00AD59DE">
              <w:rPr>
                <w:color w:val="000000"/>
                <w:sz w:val="28"/>
                <w:szCs w:val="28"/>
              </w:rPr>
              <w:t>202</w:t>
            </w:r>
            <w:r>
              <w:rPr>
                <w:color w:val="000000"/>
                <w:sz w:val="28"/>
                <w:szCs w:val="28"/>
              </w:rPr>
              <w:t>2</w:t>
            </w:r>
            <w:r w:rsidRPr="00AD59DE">
              <w:rPr>
                <w:color w:val="000000"/>
                <w:sz w:val="28"/>
                <w:szCs w:val="28"/>
              </w:rPr>
              <w:t xml:space="preserve"> IEEE TCMC Awards</w:t>
            </w:r>
          </w:p>
          <w:p w14:paraId="72DC7AF5" w14:textId="77777777" w:rsidR="00181920" w:rsidRPr="00181920" w:rsidRDefault="00181920" w:rsidP="00181920">
            <w:pPr>
              <w:rPr>
                <w:rFonts w:ascii="Calibri" w:hAnsi="Calibri"/>
                <w:sz w:val="28"/>
                <w:szCs w:val="28"/>
              </w:rPr>
            </w:pPr>
          </w:p>
          <w:p w14:paraId="27F9BDCE" w14:textId="77777777" w:rsidR="00006D7E" w:rsidRPr="0041376C" w:rsidRDefault="00006D7E" w:rsidP="0041376C">
            <w:pPr>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87E10" w14:textId="77777777" w:rsidR="00744C7F" w:rsidRPr="00203153" w:rsidRDefault="00744C7F" w:rsidP="00744C7F">
            <w:pPr>
              <w:rPr>
                <w:rFonts w:ascii="Arial" w:hAnsi="Arial" w:cs="Arial"/>
                <w:sz w:val="28"/>
                <w:szCs w:val="32"/>
              </w:rPr>
            </w:pPr>
            <w:r w:rsidRPr="00203153">
              <w:rPr>
                <w:rFonts w:ascii="Arial" w:hAnsi="Arial" w:cs="Arial"/>
                <w:sz w:val="28"/>
                <w:szCs w:val="32"/>
              </w:rPr>
              <w:t xml:space="preserve">IEEE 23rd International Conference on Information Reuse and Integration for Data Science (IEEE IRI 2022) </w:t>
            </w:r>
          </w:p>
          <w:p w14:paraId="7E18EFEB" w14:textId="77777777" w:rsidR="00744C7F" w:rsidRPr="00203153" w:rsidRDefault="00744C7F" w:rsidP="00744C7F">
            <w:pPr>
              <w:rPr>
                <w:rFonts w:asciiTheme="majorHAnsi" w:hAnsiTheme="majorHAnsi" w:cstheme="majorBidi"/>
                <w:sz w:val="22"/>
                <w:szCs w:val="32"/>
              </w:rPr>
            </w:pPr>
            <w:r w:rsidRPr="00203153">
              <w:rPr>
                <w:rFonts w:asciiTheme="majorHAnsi" w:hAnsiTheme="majorHAnsi" w:cstheme="majorBidi"/>
                <w:sz w:val="22"/>
                <w:szCs w:val="32"/>
              </w:rPr>
              <w:t>Held Virtually, August 9 – 11, 2022</w:t>
            </w:r>
          </w:p>
          <w:p w14:paraId="1DB90ED9" w14:textId="77777777" w:rsidR="00744C7F" w:rsidRPr="00203153" w:rsidRDefault="00AD1806" w:rsidP="00744C7F">
            <w:pPr>
              <w:rPr>
                <w:rStyle w:val="Hyperlink"/>
              </w:rPr>
            </w:pPr>
            <w:hyperlink r:id="rId8" w:history="1">
              <w:r w:rsidR="00744C7F" w:rsidRPr="00203153">
                <w:rPr>
                  <w:rStyle w:val="Hyperlink"/>
                </w:rPr>
                <w:t>http://homepages.uc.edu/~niunn/IRI22</w:t>
              </w:r>
            </w:hyperlink>
          </w:p>
          <w:p w14:paraId="5F7B53B3" w14:textId="77777777" w:rsidR="00744C7F" w:rsidRDefault="00744C7F" w:rsidP="00744C7F">
            <w:pPr>
              <w:rPr>
                <w:rFonts w:ascii="Arial" w:hAnsi="Arial" w:cs="Arial"/>
                <w:sz w:val="28"/>
                <w:szCs w:val="32"/>
              </w:rPr>
            </w:pPr>
          </w:p>
          <w:p w14:paraId="1946F510" w14:textId="77777777" w:rsidR="00744C7F" w:rsidRPr="009E433F" w:rsidRDefault="00744C7F" w:rsidP="00744C7F">
            <w:pPr>
              <w:rPr>
                <w:rFonts w:ascii="Helvetica Neue" w:hAnsi="Helvetica Neue"/>
                <w:color w:val="333333"/>
                <w:sz w:val="21"/>
                <w:szCs w:val="21"/>
                <w:shd w:val="clear" w:color="auto" w:fill="FFFFFF"/>
              </w:rPr>
            </w:pPr>
            <w:r>
              <w:rPr>
                <w:rFonts w:ascii="Calibri" w:hAnsi="Calibri"/>
                <w:color w:val="948A54"/>
                <w:sz w:val="22"/>
                <w:szCs w:val="22"/>
              </w:rPr>
              <w:t>submission:</w:t>
            </w:r>
            <w:r>
              <w:t xml:space="preserve"> </w:t>
            </w:r>
            <w:hyperlink r:id="rId9" w:tgtFrame="_blank" w:history="1">
              <w:r w:rsidRPr="009E433F">
                <w:rPr>
                  <w:rStyle w:val="Hyperlink"/>
                  <w:sz w:val="22"/>
                  <w:szCs w:val="22"/>
                </w:rPr>
                <w:t>https://easychair.org/conferences/?conf=iri2022</w:t>
              </w:r>
            </w:hyperlink>
            <w:r w:rsidRPr="009E433F">
              <w:rPr>
                <w:rStyle w:val="apple-converted-space"/>
                <w:rFonts w:ascii="Helvetica Neue" w:hAnsi="Helvetica Neue"/>
                <w:color w:val="0000FF"/>
                <w:sz w:val="21"/>
                <w:szCs w:val="21"/>
                <w:shd w:val="clear" w:color="auto" w:fill="FFFFFF"/>
              </w:rPr>
              <w:t> </w:t>
            </w:r>
          </w:p>
          <w:p w14:paraId="52342407" w14:textId="77777777" w:rsidR="00744C7F" w:rsidRDefault="00744C7F" w:rsidP="00744C7F">
            <w:pPr>
              <w:rPr>
                <w:rFonts w:ascii="Arial" w:hAnsi="Arial" w:cs="Arial"/>
                <w:sz w:val="28"/>
                <w:szCs w:val="32"/>
              </w:rPr>
            </w:pPr>
          </w:p>
          <w:p w14:paraId="355709BE" w14:textId="77777777" w:rsidR="00744C7F" w:rsidRPr="00203153" w:rsidRDefault="00744C7F" w:rsidP="00744C7F">
            <w:pPr>
              <w:rPr>
                <w:rFonts w:ascii="Calibri" w:eastAsiaTheme="minorHAnsi" w:hAnsi="Calibri"/>
                <w:color w:val="948A54"/>
                <w:sz w:val="22"/>
                <w:szCs w:val="22"/>
              </w:rPr>
            </w:pPr>
            <w:r w:rsidRPr="00203153">
              <w:rPr>
                <w:rFonts w:ascii="Calibri" w:eastAsiaTheme="minorHAnsi" w:hAnsi="Calibri"/>
                <w:color w:val="948A54"/>
                <w:sz w:val="22"/>
                <w:szCs w:val="22"/>
              </w:rPr>
              <w:t>This conference explores three major tracks</w:t>
            </w:r>
            <w:r>
              <w:rPr>
                <w:rFonts w:ascii="Calibri" w:eastAsiaTheme="minorHAnsi" w:hAnsi="Calibri"/>
                <w:color w:val="948A54"/>
                <w:sz w:val="22"/>
                <w:szCs w:val="22"/>
              </w:rPr>
              <w:t>, with t</w:t>
            </w:r>
            <w:r w:rsidRPr="00203153">
              <w:rPr>
                <w:rFonts w:ascii="Calibri" w:eastAsiaTheme="minorHAnsi" w:hAnsi="Calibri"/>
                <w:color w:val="948A54"/>
                <w:sz w:val="22"/>
                <w:szCs w:val="22"/>
              </w:rPr>
              <w:t>opics include, but not limited to:</w:t>
            </w:r>
          </w:p>
          <w:p w14:paraId="671D98C2" w14:textId="77777777" w:rsidR="00744C7F" w:rsidRPr="00203153" w:rsidRDefault="00744C7F" w:rsidP="00744C7F">
            <w:pPr>
              <w:numPr>
                <w:ilvl w:val="0"/>
                <w:numId w:val="12"/>
              </w:numPr>
              <w:rPr>
                <w:rFonts w:ascii="Calibri" w:eastAsiaTheme="minorHAnsi" w:hAnsi="Calibri"/>
                <w:color w:val="948A54"/>
                <w:sz w:val="22"/>
                <w:szCs w:val="22"/>
              </w:rPr>
            </w:pPr>
            <w:r w:rsidRPr="00203153">
              <w:rPr>
                <w:rFonts w:ascii="Calibri" w:eastAsiaTheme="minorHAnsi" w:hAnsi="Calibri"/>
                <w:color w:val="948A54"/>
                <w:sz w:val="22"/>
                <w:szCs w:val="22"/>
                <w:u w:val="single"/>
              </w:rPr>
              <w:t>Track 1: Information Reuse</w:t>
            </w:r>
            <w:r>
              <w:rPr>
                <w:rFonts w:ascii="Calibri" w:eastAsiaTheme="minorHAnsi" w:hAnsi="Calibri"/>
                <w:color w:val="948A54"/>
                <w:sz w:val="22"/>
                <w:szCs w:val="22"/>
              </w:rPr>
              <w:t xml:space="preserve">: 1) </w:t>
            </w:r>
            <w:r w:rsidRPr="00203153">
              <w:rPr>
                <w:rFonts w:ascii="Calibri" w:eastAsiaTheme="minorHAnsi" w:hAnsi="Calibri"/>
                <w:color w:val="948A54"/>
                <w:sz w:val="22"/>
                <w:szCs w:val="22"/>
              </w:rPr>
              <w:t>Data Science &amp; Technologies - Heuristic Acquisition</w:t>
            </w:r>
            <w:r>
              <w:rPr>
                <w:rFonts w:ascii="Calibri" w:eastAsiaTheme="minorHAnsi" w:hAnsi="Calibri"/>
                <w:color w:val="948A54"/>
                <w:sz w:val="22"/>
                <w:szCs w:val="22"/>
              </w:rPr>
              <w:t xml:space="preserve">; 2) </w:t>
            </w:r>
            <w:r w:rsidRPr="00203153">
              <w:rPr>
                <w:rFonts w:ascii="Calibri" w:eastAsiaTheme="minorHAnsi" w:hAnsi="Calibri"/>
                <w:color w:val="948A54"/>
                <w:sz w:val="22"/>
                <w:szCs w:val="22"/>
              </w:rPr>
              <w:t>Data &amp; Knowledge Representation and Management</w:t>
            </w:r>
            <w:r>
              <w:rPr>
                <w:rFonts w:ascii="Calibri" w:eastAsiaTheme="minorHAnsi" w:hAnsi="Calibri"/>
                <w:color w:val="948A54"/>
                <w:sz w:val="22"/>
                <w:szCs w:val="22"/>
              </w:rPr>
              <w:t xml:space="preserve">; 3) </w:t>
            </w:r>
            <w:r w:rsidRPr="00203153">
              <w:rPr>
                <w:rFonts w:ascii="Calibri" w:eastAsiaTheme="minorHAnsi" w:hAnsi="Calibri"/>
                <w:color w:val="948A54"/>
                <w:sz w:val="22"/>
                <w:szCs w:val="22"/>
              </w:rPr>
              <w:t>Data Visualization</w:t>
            </w:r>
            <w:r>
              <w:rPr>
                <w:rFonts w:ascii="Calibri" w:eastAsiaTheme="minorHAnsi" w:hAnsi="Calibri"/>
                <w:color w:val="948A54"/>
                <w:sz w:val="22"/>
                <w:szCs w:val="22"/>
              </w:rPr>
              <w:t xml:space="preserve">; 4) </w:t>
            </w:r>
            <w:r w:rsidRPr="00203153">
              <w:rPr>
                <w:rFonts w:ascii="Calibri" w:eastAsiaTheme="minorHAnsi" w:hAnsi="Calibri"/>
                <w:color w:val="948A54"/>
                <w:sz w:val="22"/>
                <w:szCs w:val="22"/>
              </w:rPr>
              <w:t>Information Science Theory</w:t>
            </w:r>
          </w:p>
          <w:p w14:paraId="757A4967" w14:textId="77777777" w:rsidR="00744C7F" w:rsidRDefault="00744C7F" w:rsidP="00744C7F">
            <w:pPr>
              <w:numPr>
                <w:ilvl w:val="0"/>
                <w:numId w:val="12"/>
              </w:numPr>
              <w:rPr>
                <w:rFonts w:ascii="Calibri" w:eastAsiaTheme="minorHAnsi" w:hAnsi="Calibri"/>
                <w:color w:val="948A54"/>
                <w:sz w:val="22"/>
                <w:szCs w:val="22"/>
              </w:rPr>
            </w:pPr>
            <w:r w:rsidRPr="00203153">
              <w:rPr>
                <w:rFonts w:ascii="Calibri" w:eastAsiaTheme="minorHAnsi" w:hAnsi="Calibri"/>
                <w:color w:val="948A54"/>
                <w:sz w:val="22"/>
                <w:szCs w:val="22"/>
                <w:u w:val="single"/>
              </w:rPr>
              <w:t>Track 2: Information Integration</w:t>
            </w:r>
            <w:r>
              <w:rPr>
                <w:rFonts w:ascii="Calibri" w:eastAsiaTheme="minorHAnsi" w:hAnsi="Calibri"/>
                <w:color w:val="948A54"/>
                <w:sz w:val="22"/>
                <w:szCs w:val="22"/>
              </w:rPr>
              <w:t xml:space="preserve">: 1) </w:t>
            </w:r>
            <w:r w:rsidRPr="00203153">
              <w:rPr>
                <w:rFonts w:ascii="Calibri" w:eastAsiaTheme="minorHAnsi" w:hAnsi="Calibri"/>
                <w:color w:val="948A54"/>
                <w:sz w:val="22"/>
                <w:szCs w:val="22"/>
              </w:rPr>
              <w:t>Machine Learning &amp; AI</w:t>
            </w:r>
            <w:r>
              <w:rPr>
                <w:rFonts w:ascii="Calibri" w:eastAsiaTheme="minorHAnsi" w:hAnsi="Calibri"/>
                <w:color w:val="948A54"/>
                <w:sz w:val="22"/>
                <w:szCs w:val="22"/>
              </w:rPr>
              <w:t xml:space="preserve">; 2) </w:t>
            </w:r>
            <w:r w:rsidRPr="00203153">
              <w:rPr>
                <w:rFonts w:ascii="Calibri" w:eastAsiaTheme="minorHAnsi" w:hAnsi="Calibri"/>
                <w:color w:val="948A54"/>
                <w:sz w:val="22"/>
                <w:szCs w:val="22"/>
              </w:rPr>
              <w:t>AI and Security</w:t>
            </w:r>
            <w:r>
              <w:rPr>
                <w:rFonts w:ascii="Calibri" w:eastAsiaTheme="minorHAnsi" w:hAnsi="Calibri"/>
                <w:color w:val="948A54"/>
                <w:sz w:val="22"/>
                <w:szCs w:val="22"/>
              </w:rPr>
              <w:t xml:space="preserve">; 3) </w:t>
            </w:r>
            <w:r w:rsidRPr="00203153">
              <w:rPr>
                <w:rFonts w:ascii="Calibri" w:eastAsiaTheme="minorHAnsi" w:hAnsi="Calibri"/>
                <w:color w:val="948A54"/>
                <w:sz w:val="22"/>
                <w:szCs w:val="22"/>
              </w:rPr>
              <w:t>Evolutionary Techniques</w:t>
            </w:r>
            <w:r>
              <w:rPr>
                <w:rFonts w:ascii="Calibri" w:eastAsiaTheme="minorHAnsi" w:hAnsi="Calibri"/>
                <w:color w:val="948A54"/>
                <w:sz w:val="22"/>
                <w:szCs w:val="22"/>
              </w:rPr>
              <w:t xml:space="preserve">; 4) </w:t>
            </w:r>
            <w:r w:rsidRPr="00203153">
              <w:rPr>
                <w:rFonts w:ascii="Calibri" w:eastAsiaTheme="minorHAnsi" w:hAnsi="Calibri"/>
                <w:color w:val="948A54"/>
                <w:sz w:val="22"/>
                <w:szCs w:val="22"/>
              </w:rPr>
              <w:t>Statistical Analysis</w:t>
            </w:r>
          </w:p>
          <w:p w14:paraId="6F5EE914" w14:textId="77777777" w:rsidR="00744C7F" w:rsidRPr="0094799B" w:rsidRDefault="00744C7F" w:rsidP="00744C7F">
            <w:pPr>
              <w:numPr>
                <w:ilvl w:val="0"/>
                <w:numId w:val="12"/>
              </w:numPr>
              <w:rPr>
                <w:rFonts w:ascii="Calibri" w:eastAsiaTheme="minorHAnsi" w:hAnsi="Calibri"/>
                <w:color w:val="948A54"/>
                <w:sz w:val="22"/>
                <w:szCs w:val="22"/>
              </w:rPr>
            </w:pPr>
            <w:r w:rsidRPr="0094799B">
              <w:rPr>
                <w:rFonts w:ascii="Calibri" w:eastAsiaTheme="minorHAnsi" w:hAnsi="Calibri"/>
                <w:color w:val="948A54"/>
                <w:sz w:val="22"/>
                <w:szCs w:val="22"/>
                <w:u w:val="single"/>
              </w:rPr>
              <w:lastRenderedPageBreak/>
              <w:t>Track 3: Reusable Systems</w:t>
            </w:r>
            <w:r w:rsidRPr="0094799B">
              <w:rPr>
                <w:rFonts w:ascii="Calibri" w:eastAsiaTheme="minorHAnsi" w:hAnsi="Calibri"/>
                <w:color w:val="948A54"/>
                <w:sz w:val="22"/>
                <w:szCs w:val="22"/>
              </w:rPr>
              <w:t>: 1) Software and Systems Reuse and Reusability; 2) Software Sustainability and Reuse Economics; 3) Software Maintenance and Life-Cycle Management; 4) Software Reliability, Robustness, and Dependability; 5) Platforms and Tools; 6) Applications – Autonomous Vehicles, Business, Education, Engineering, Healthcare and Medical Informatics, the Internet of Things, Math, Military, Multimedia, NLP, Robotics, Science, Security, Social Networking, Space, Vision, etc.</w:t>
            </w:r>
          </w:p>
          <w:p w14:paraId="27209D6D" w14:textId="77777777" w:rsidR="00744C7F" w:rsidRPr="00203153" w:rsidRDefault="00744C7F" w:rsidP="00744C7F">
            <w:pPr>
              <w:ind w:left="360"/>
              <w:rPr>
                <w:rFonts w:ascii="Arial" w:hAnsi="Arial" w:cs="Arial"/>
                <w:sz w:val="28"/>
                <w:szCs w:val="32"/>
              </w:rPr>
            </w:pPr>
          </w:p>
          <w:p w14:paraId="29442D80" w14:textId="77777777" w:rsidR="00744C7F" w:rsidRPr="00203153" w:rsidRDefault="00744C7F" w:rsidP="00744C7F">
            <w:pPr>
              <w:autoSpaceDE w:val="0"/>
              <w:autoSpaceDN w:val="0"/>
              <w:adjustRightInd w:val="0"/>
              <w:rPr>
                <w:rFonts w:ascii="Cambria" w:hAnsi="Cambria"/>
                <w:b/>
                <w:bCs/>
                <w:i/>
                <w:iCs/>
                <w:color w:val="4F81BD"/>
              </w:rPr>
            </w:pPr>
            <w:r w:rsidRPr="00203153">
              <w:rPr>
                <w:rFonts w:ascii="Cambria" w:hAnsi="Cambria"/>
                <w:b/>
                <w:bCs/>
                <w:i/>
                <w:iCs/>
                <w:color w:val="4F81BD"/>
              </w:rPr>
              <w:t xml:space="preserve">Important Dates: </w:t>
            </w:r>
          </w:p>
          <w:p w14:paraId="017728C7" w14:textId="77777777" w:rsidR="00744C7F" w:rsidRPr="00203153" w:rsidRDefault="00744C7F" w:rsidP="00744C7F">
            <w:pPr>
              <w:numPr>
                <w:ilvl w:val="0"/>
                <w:numId w:val="12"/>
              </w:numPr>
              <w:rPr>
                <w:rFonts w:ascii="Calibri" w:hAnsi="Calibri"/>
                <w:iCs/>
                <w:color w:val="948A54"/>
                <w:sz w:val="22"/>
                <w:szCs w:val="22"/>
                <w:lang w:eastAsia="en-US"/>
              </w:rPr>
            </w:pPr>
            <w:r w:rsidRPr="00203153">
              <w:rPr>
                <w:rFonts w:ascii="Calibri" w:hAnsi="Calibri"/>
                <w:iCs/>
                <w:color w:val="948A54"/>
                <w:sz w:val="22"/>
                <w:szCs w:val="22"/>
                <w:lang w:eastAsia="en-US"/>
              </w:rPr>
              <w:t>Deadline (full paper): April 24, 2022</w:t>
            </w:r>
          </w:p>
          <w:p w14:paraId="5364182F" w14:textId="77777777" w:rsidR="00744C7F" w:rsidRPr="00203153" w:rsidRDefault="00744C7F" w:rsidP="00744C7F">
            <w:pPr>
              <w:numPr>
                <w:ilvl w:val="0"/>
                <w:numId w:val="12"/>
              </w:numPr>
              <w:rPr>
                <w:rFonts w:ascii="Calibri" w:hAnsi="Calibri"/>
                <w:iCs/>
                <w:color w:val="948A54"/>
                <w:sz w:val="22"/>
                <w:szCs w:val="22"/>
                <w:lang w:eastAsia="en-US"/>
              </w:rPr>
            </w:pPr>
            <w:r w:rsidRPr="00203153">
              <w:rPr>
                <w:rFonts w:ascii="Calibri" w:hAnsi="Calibri"/>
                <w:iCs/>
                <w:color w:val="948A54"/>
                <w:sz w:val="22"/>
                <w:szCs w:val="22"/>
                <w:lang w:eastAsia="en-US"/>
              </w:rPr>
              <w:t>Deadline (poster): May 15, 2022</w:t>
            </w:r>
          </w:p>
          <w:p w14:paraId="42009E43" w14:textId="77777777" w:rsidR="00744C7F" w:rsidRPr="00203153" w:rsidRDefault="00744C7F" w:rsidP="00744C7F">
            <w:pPr>
              <w:numPr>
                <w:ilvl w:val="0"/>
                <w:numId w:val="12"/>
              </w:numPr>
              <w:rPr>
                <w:rFonts w:ascii="Calibri" w:hAnsi="Calibri"/>
                <w:iCs/>
                <w:color w:val="948A54"/>
                <w:sz w:val="22"/>
                <w:szCs w:val="22"/>
                <w:lang w:eastAsia="en-US"/>
              </w:rPr>
            </w:pPr>
            <w:r w:rsidRPr="00203153">
              <w:rPr>
                <w:rFonts w:ascii="Calibri" w:hAnsi="Calibri"/>
                <w:iCs/>
                <w:color w:val="948A54"/>
                <w:sz w:val="22"/>
                <w:szCs w:val="22"/>
                <w:lang w:eastAsia="en-US"/>
              </w:rPr>
              <w:t>Full paper acceptance notification: May 29, 2022</w:t>
            </w:r>
          </w:p>
          <w:p w14:paraId="24BF3BBD" w14:textId="77777777" w:rsidR="00744C7F" w:rsidRDefault="00744C7F" w:rsidP="00744C7F">
            <w:pPr>
              <w:numPr>
                <w:ilvl w:val="0"/>
                <w:numId w:val="12"/>
              </w:numPr>
              <w:rPr>
                <w:rFonts w:ascii="Calibri" w:hAnsi="Calibri"/>
                <w:iCs/>
                <w:color w:val="948A54"/>
                <w:sz w:val="22"/>
                <w:szCs w:val="22"/>
                <w:lang w:eastAsia="en-US"/>
              </w:rPr>
            </w:pPr>
            <w:r w:rsidRPr="00203153">
              <w:rPr>
                <w:rFonts w:ascii="Calibri" w:hAnsi="Calibri"/>
                <w:iCs/>
                <w:color w:val="948A54"/>
                <w:sz w:val="22"/>
                <w:szCs w:val="22"/>
                <w:lang w:eastAsia="en-US"/>
              </w:rPr>
              <w:t>Poster acceptance notification: June 12, 2022</w:t>
            </w:r>
          </w:p>
          <w:p w14:paraId="250C5B06" w14:textId="17BFDAA9" w:rsidR="00446BC5" w:rsidRDefault="00446BC5" w:rsidP="00446BC5">
            <w:pPr>
              <w:rPr>
                <w:rFonts w:ascii="Arial" w:hAnsi="Arial" w:cs="Arial"/>
                <w:sz w:val="28"/>
                <w:szCs w:val="32"/>
              </w:rPr>
            </w:pPr>
          </w:p>
          <w:p w14:paraId="0ED7F945" w14:textId="77777777" w:rsidR="0005523E" w:rsidRDefault="0005523E" w:rsidP="0005523E">
            <w:pPr>
              <w:shd w:val="clear" w:color="auto" w:fill="FFFFFF"/>
              <w:rPr>
                <w:rFonts w:ascii="Arial" w:hAnsi="Arial" w:cs="Arial"/>
                <w:sz w:val="28"/>
                <w:szCs w:val="32"/>
              </w:rPr>
            </w:pPr>
            <w:r>
              <w:rPr>
                <w:rFonts w:ascii="Arial" w:hAnsi="Arial" w:cs="Arial"/>
                <w:sz w:val="28"/>
                <w:szCs w:val="32"/>
              </w:rPr>
              <w:t xml:space="preserve">ACM Multimedia </w:t>
            </w:r>
          </w:p>
          <w:p w14:paraId="0E8287CA" w14:textId="7785F8C0" w:rsidR="0005523E" w:rsidRPr="007403A0" w:rsidRDefault="0005523E" w:rsidP="0005523E">
            <w:pPr>
              <w:shd w:val="clear" w:color="auto" w:fill="FFFFFF"/>
              <w:rPr>
                <w:rFonts w:ascii="Arial" w:hAnsi="Arial" w:cs="Arial"/>
                <w:strike/>
                <w:sz w:val="28"/>
                <w:szCs w:val="32"/>
              </w:rPr>
            </w:pPr>
            <w:r>
              <w:rPr>
                <w:rFonts w:asciiTheme="majorHAnsi" w:hAnsiTheme="majorHAnsi" w:cstheme="majorBidi"/>
                <w:sz w:val="22"/>
                <w:szCs w:val="32"/>
              </w:rPr>
              <w:t>October</w:t>
            </w:r>
            <w:r w:rsidRPr="005D3A8C">
              <w:rPr>
                <w:rFonts w:asciiTheme="majorHAnsi" w:hAnsiTheme="majorHAnsi" w:cstheme="majorBidi"/>
                <w:sz w:val="22"/>
                <w:szCs w:val="32"/>
              </w:rPr>
              <w:t xml:space="preserve"> </w:t>
            </w:r>
            <w:r w:rsidR="00D6327D">
              <w:rPr>
                <w:rFonts w:asciiTheme="majorHAnsi" w:hAnsiTheme="majorHAnsi" w:cstheme="majorBidi"/>
                <w:sz w:val="22"/>
                <w:szCs w:val="32"/>
              </w:rPr>
              <w:t>1</w:t>
            </w:r>
            <w:r w:rsidRPr="005D3A8C">
              <w:rPr>
                <w:rFonts w:asciiTheme="majorHAnsi" w:hAnsiTheme="majorHAnsi" w:cstheme="majorBidi"/>
                <w:sz w:val="22"/>
                <w:szCs w:val="32"/>
              </w:rPr>
              <w:t>0--</w:t>
            </w:r>
            <w:r w:rsidR="00D6327D">
              <w:rPr>
                <w:rFonts w:asciiTheme="majorHAnsi" w:hAnsiTheme="majorHAnsi" w:cstheme="majorBidi"/>
                <w:sz w:val="22"/>
                <w:szCs w:val="32"/>
              </w:rPr>
              <w:t>1</w:t>
            </w:r>
            <w:r>
              <w:rPr>
                <w:rFonts w:asciiTheme="majorHAnsi" w:hAnsiTheme="majorHAnsi" w:cstheme="majorBidi"/>
                <w:sz w:val="22"/>
                <w:szCs w:val="32"/>
              </w:rPr>
              <w:t>4</w:t>
            </w:r>
            <w:r w:rsidRPr="005D3A8C">
              <w:rPr>
                <w:rFonts w:asciiTheme="majorHAnsi" w:hAnsiTheme="majorHAnsi" w:cstheme="majorBidi"/>
                <w:sz w:val="22"/>
                <w:szCs w:val="32"/>
              </w:rPr>
              <w:t>, 202</w:t>
            </w:r>
            <w:r w:rsidR="00D6327D">
              <w:rPr>
                <w:rFonts w:asciiTheme="majorHAnsi" w:hAnsiTheme="majorHAnsi" w:cstheme="majorBidi"/>
                <w:sz w:val="22"/>
                <w:szCs w:val="32"/>
              </w:rPr>
              <w:t>2</w:t>
            </w:r>
            <w:r>
              <w:t xml:space="preserve"> </w:t>
            </w:r>
          </w:p>
          <w:p w14:paraId="546ACFFC" w14:textId="0C6EA2E2" w:rsidR="0005523E" w:rsidRPr="00181920" w:rsidRDefault="00D6327D" w:rsidP="00181920">
            <w:pPr>
              <w:rPr>
                <w:rFonts w:asciiTheme="majorHAnsi" w:hAnsiTheme="majorHAnsi" w:cstheme="majorBidi"/>
                <w:sz w:val="22"/>
                <w:szCs w:val="32"/>
              </w:rPr>
            </w:pPr>
            <w:r w:rsidRPr="00D6327D">
              <w:rPr>
                <w:rFonts w:asciiTheme="majorHAnsi" w:hAnsiTheme="majorHAnsi" w:cstheme="majorBidi"/>
                <w:sz w:val="22"/>
                <w:szCs w:val="32"/>
              </w:rPr>
              <w:t>Lisbon</w:t>
            </w:r>
            <w:r>
              <w:rPr>
                <w:rFonts w:asciiTheme="majorHAnsi" w:hAnsiTheme="majorHAnsi" w:cstheme="majorBidi"/>
                <w:sz w:val="22"/>
                <w:szCs w:val="32"/>
              </w:rPr>
              <w:t>, Portugal</w:t>
            </w:r>
          </w:p>
          <w:p w14:paraId="20B9C79F" w14:textId="6F356773" w:rsidR="0005523E" w:rsidRDefault="00D6327D" w:rsidP="0005523E">
            <w:pPr>
              <w:pStyle w:val="PlainText"/>
              <w:rPr>
                <w:rFonts w:ascii="Times New Roman" w:eastAsia="Times New Roman" w:hAnsi="Times New Roman" w:cs="Times New Roman"/>
                <w:sz w:val="24"/>
                <w:szCs w:val="24"/>
              </w:rPr>
            </w:pPr>
            <w:r w:rsidRPr="00D6327D">
              <w:rPr>
                <w:rStyle w:val="Hyperlink"/>
                <w:rFonts w:ascii="Times New Roman" w:eastAsia="Times New Roman" w:hAnsi="Times New Roman" w:cs="Times New Roman"/>
                <w:sz w:val="24"/>
                <w:szCs w:val="24"/>
              </w:rPr>
              <w:t>https://2022.acmmm.org/</w:t>
            </w:r>
          </w:p>
          <w:p w14:paraId="122BE6C5" w14:textId="77777777" w:rsidR="0005523E" w:rsidRDefault="0005523E" w:rsidP="0005523E">
            <w:pPr>
              <w:pStyle w:val="PlainText"/>
              <w:rPr>
                <w:rFonts w:ascii="Arial" w:eastAsia="Times New Roman" w:hAnsi="Arial" w:cs="Arial"/>
                <w:sz w:val="28"/>
                <w:szCs w:val="32"/>
              </w:rPr>
            </w:pPr>
          </w:p>
          <w:p w14:paraId="75DD7839" w14:textId="77777777" w:rsidR="00D6327D" w:rsidRDefault="0005523E" w:rsidP="00D6327D">
            <w:r w:rsidRPr="004D315C">
              <w:rPr>
                <w:color w:val="948A54"/>
                <w:szCs w:val="22"/>
              </w:rPr>
              <w:t>At ACM Multimedia 202</w:t>
            </w:r>
            <w:r w:rsidR="00D6327D">
              <w:rPr>
                <w:color w:val="948A54"/>
                <w:szCs w:val="22"/>
              </w:rPr>
              <w:t>2</w:t>
            </w:r>
            <w:r w:rsidRPr="004D315C">
              <w:rPr>
                <w:color w:val="948A54"/>
                <w:szCs w:val="22"/>
              </w:rPr>
              <w:t xml:space="preserve">, we will present an extensive program consisting of technical sessions covering all aspects of the multimedia field via oral, video and poster presentations, tutorials, panels, exhibits, demonstrations, workshops, doctoral symposium, multimedia grand challenge, brave new ideas on shaping the research landscape, </w:t>
            </w:r>
            <w:proofErr w:type="gramStart"/>
            <w:r w:rsidRPr="004D315C">
              <w:rPr>
                <w:color w:val="948A54"/>
                <w:szCs w:val="22"/>
              </w:rPr>
              <w:t>open source</w:t>
            </w:r>
            <w:proofErr w:type="gramEnd"/>
            <w:r w:rsidRPr="004D315C">
              <w:rPr>
                <w:color w:val="948A54"/>
                <w:szCs w:val="22"/>
              </w:rPr>
              <w:t xml:space="preserve"> software competition, and also an interactive arts program. We will also </w:t>
            </w:r>
            <w:r w:rsidR="00D6327D" w:rsidRPr="00D6327D">
              <w:rPr>
                <w:color w:val="948A54"/>
                <w:szCs w:val="22"/>
              </w:rPr>
              <w:t>continue to support</w:t>
            </w:r>
          </w:p>
          <w:p w14:paraId="3940DC66" w14:textId="2E657766" w:rsidR="0005523E" w:rsidRDefault="0005523E" w:rsidP="0005523E">
            <w:pPr>
              <w:pStyle w:val="PlainText"/>
              <w:rPr>
                <w:rFonts w:cs="Times New Roman"/>
                <w:color w:val="948A54"/>
                <w:szCs w:val="22"/>
              </w:rPr>
            </w:pPr>
            <w:r w:rsidRPr="004D315C">
              <w:rPr>
                <w:rFonts w:cs="Times New Roman"/>
                <w:color w:val="948A54"/>
                <w:szCs w:val="22"/>
              </w:rPr>
              <w:t>the industrial track to recognize those research works with significant industrial values.</w:t>
            </w:r>
          </w:p>
          <w:p w14:paraId="0853FDD0" w14:textId="77777777" w:rsidR="0005523E" w:rsidRPr="005D3A8C" w:rsidRDefault="0005523E" w:rsidP="0005523E">
            <w:pPr>
              <w:pStyle w:val="PlainText"/>
              <w:rPr>
                <w:rFonts w:cs="Times New Roman"/>
                <w:color w:val="948A54"/>
                <w:szCs w:val="22"/>
              </w:rPr>
            </w:pPr>
          </w:p>
          <w:p w14:paraId="4DF8009A" w14:textId="0B6B758C" w:rsidR="0005523E" w:rsidRDefault="0005523E" w:rsidP="00181920">
            <w:pPr>
              <w:rPr>
                <w:rFonts w:ascii="Calibri" w:eastAsiaTheme="minorHAnsi" w:hAnsi="Calibri"/>
                <w:color w:val="948A54"/>
                <w:sz w:val="22"/>
                <w:szCs w:val="2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r>
              <w:rPr>
                <w:rFonts w:ascii="Cambria" w:hAnsi="Cambria"/>
                <w:b/>
                <w:bCs/>
                <w:iCs/>
                <w:color w:val="4F81BD"/>
              </w:rPr>
              <w:t xml:space="preserve"> </w:t>
            </w:r>
          </w:p>
          <w:p w14:paraId="3E3BFFD8" w14:textId="5AC846D7" w:rsidR="0005523E" w:rsidRPr="005D3A8C" w:rsidRDefault="0005523E" w:rsidP="0005523E">
            <w:pPr>
              <w:numPr>
                <w:ilvl w:val="0"/>
                <w:numId w:val="6"/>
              </w:numPr>
              <w:rPr>
                <w:rFonts w:ascii="Calibri" w:eastAsiaTheme="minorHAnsi" w:hAnsi="Calibri"/>
                <w:color w:val="948A54"/>
                <w:sz w:val="22"/>
                <w:szCs w:val="22"/>
              </w:rPr>
            </w:pPr>
            <w:r>
              <w:rPr>
                <w:rFonts w:ascii="Calibri" w:eastAsiaTheme="minorHAnsi" w:hAnsi="Calibri"/>
                <w:color w:val="948A54"/>
                <w:sz w:val="22"/>
                <w:szCs w:val="22"/>
              </w:rPr>
              <w:t xml:space="preserve">Regular </w:t>
            </w:r>
            <w:r w:rsidRPr="005D3A8C">
              <w:rPr>
                <w:rFonts w:ascii="Calibri" w:eastAsiaTheme="minorHAnsi" w:hAnsi="Calibri"/>
                <w:color w:val="948A54"/>
                <w:sz w:val="22"/>
                <w:szCs w:val="22"/>
              </w:rPr>
              <w:t>Paper</w:t>
            </w:r>
            <w:r w:rsidR="00D6327D">
              <w:rPr>
                <w:rFonts w:ascii="Calibri" w:eastAsiaTheme="minorHAnsi" w:hAnsi="Calibri"/>
                <w:color w:val="948A54"/>
                <w:sz w:val="22"/>
                <w:szCs w:val="22"/>
              </w:rPr>
              <w:t xml:space="preserve">/Doctoral </w:t>
            </w:r>
            <w:r w:rsidR="00D6327D">
              <w:rPr>
                <w:color w:val="948A54"/>
                <w:szCs w:val="22"/>
              </w:rPr>
              <w:t>S</w:t>
            </w:r>
            <w:r w:rsidR="00D6327D" w:rsidRPr="004D315C">
              <w:rPr>
                <w:color w:val="948A54"/>
                <w:szCs w:val="22"/>
              </w:rPr>
              <w:t>ymposium</w:t>
            </w:r>
            <w:r w:rsidR="00D6327D" w:rsidRPr="005D3A8C">
              <w:rPr>
                <w:rFonts w:ascii="Calibri" w:eastAsiaTheme="minorHAnsi" w:hAnsi="Calibri"/>
                <w:color w:val="948A54"/>
                <w:sz w:val="22"/>
                <w:szCs w:val="22"/>
              </w:rPr>
              <w:t xml:space="preserve"> </w:t>
            </w:r>
            <w:r w:rsidRPr="005D3A8C">
              <w:rPr>
                <w:rFonts w:ascii="Calibri" w:eastAsiaTheme="minorHAnsi" w:hAnsi="Calibri"/>
                <w:color w:val="948A54"/>
                <w:sz w:val="22"/>
                <w:szCs w:val="22"/>
              </w:rPr>
              <w:t xml:space="preserve">Submission: </w:t>
            </w:r>
            <w:r>
              <w:rPr>
                <w:rFonts w:ascii="Calibri" w:eastAsiaTheme="minorHAnsi" w:hAnsi="Calibri"/>
                <w:color w:val="948A54"/>
                <w:sz w:val="22"/>
                <w:szCs w:val="22"/>
              </w:rPr>
              <w:t xml:space="preserve">April </w:t>
            </w:r>
            <w:r w:rsidR="00D6327D">
              <w:rPr>
                <w:rFonts w:ascii="Calibri" w:eastAsiaTheme="minorHAnsi" w:hAnsi="Calibri"/>
                <w:color w:val="948A54"/>
                <w:sz w:val="22"/>
                <w:szCs w:val="22"/>
              </w:rPr>
              <w:t>7</w:t>
            </w:r>
            <w:r w:rsidRPr="005D3A8C">
              <w:rPr>
                <w:rFonts w:ascii="Calibri" w:eastAsiaTheme="minorHAnsi" w:hAnsi="Calibri"/>
                <w:color w:val="948A54"/>
                <w:sz w:val="22"/>
                <w:szCs w:val="22"/>
              </w:rPr>
              <w:t>, 202</w:t>
            </w:r>
            <w:r w:rsidR="00D6327D">
              <w:rPr>
                <w:rFonts w:ascii="Calibri" w:eastAsiaTheme="minorHAnsi" w:hAnsi="Calibri"/>
                <w:color w:val="948A54"/>
                <w:sz w:val="22"/>
                <w:szCs w:val="22"/>
              </w:rPr>
              <w:t>2</w:t>
            </w:r>
          </w:p>
          <w:p w14:paraId="1A92CA7B" w14:textId="77777777" w:rsidR="00181920" w:rsidRDefault="0005523E" w:rsidP="00181920">
            <w:pPr>
              <w:numPr>
                <w:ilvl w:val="0"/>
                <w:numId w:val="6"/>
              </w:numPr>
              <w:rPr>
                <w:rFonts w:ascii="Calibri" w:eastAsiaTheme="minorHAnsi" w:hAnsi="Calibri"/>
                <w:color w:val="948A54"/>
                <w:sz w:val="22"/>
                <w:szCs w:val="22"/>
              </w:rPr>
            </w:pPr>
            <w:r>
              <w:rPr>
                <w:rFonts w:ascii="Calibri" w:eastAsiaTheme="minorHAnsi" w:hAnsi="Calibri"/>
                <w:color w:val="948A54"/>
                <w:sz w:val="22"/>
                <w:szCs w:val="22"/>
              </w:rPr>
              <w:t>Brave New Idea</w:t>
            </w:r>
            <w:r w:rsidR="00D6327D">
              <w:rPr>
                <w:rFonts w:ascii="Calibri" w:eastAsiaTheme="minorHAnsi" w:hAnsi="Calibri"/>
                <w:color w:val="948A54"/>
                <w:sz w:val="22"/>
                <w:szCs w:val="22"/>
              </w:rPr>
              <w:t>/</w:t>
            </w:r>
            <w:proofErr w:type="gramStart"/>
            <w:r w:rsidR="00D6327D">
              <w:rPr>
                <w:rFonts w:ascii="Calibri" w:eastAsiaTheme="minorHAnsi" w:hAnsi="Calibri"/>
                <w:color w:val="948A54"/>
                <w:sz w:val="22"/>
                <w:szCs w:val="22"/>
              </w:rPr>
              <w:t>Open Source</w:t>
            </w:r>
            <w:proofErr w:type="gramEnd"/>
            <w:r w:rsidR="00D6327D">
              <w:rPr>
                <w:rFonts w:ascii="Calibri" w:eastAsiaTheme="minorHAnsi" w:hAnsi="Calibri"/>
                <w:color w:val="948A54"/>
                <w:sz w:val="22"/>
                <w:szCs w:val="22"/>
              </w:rPr>
              <w:t xml:space="preserve"> Competition</w:t>
            </w:r>
            <w:r>
              <w:rPr>
                <w:rFonts w:ascii="Calibri" w:eastAsiaTheme="minorHAnsi" w:hAnsi="Calibri"/>
                <w:color w:val="948A54"/>
                <w:sz w:val="22"/>
                <w:szCs w:val="22"/>
              </w:rPr>
              <w:t xml:space="preserve">: May </w:t>
            </w:r>
            <w:r w:rsidR="00D6327D">
              <w:rPr>
                <w:rFonts w:ascii="Calibri" w:eastAsiaTheme="minorHAnsi" w:hAnsi="Calibri"/>
                <w:color w:val="948A54"/>
                <w:sz w:val="22"/>
                <w:szCs w:val="22"/>
              </w:rPr>
              <w:t>15</w:t>
            </w:r>
            <w:r>
              <w:rPr>
                <w:rFonts w:ascii="Calibri" w:eastAsiaTheme="minorHAnsi" w:hAnsi="Calibri"/>
                <w:color w:val="948A54"/>
                <w:sz w:val="22"/>
                <w:szCs w:val="22"/>
              </w:rPr>
              <w:t>, 202</w:t>
            </w:r>
            <w:r w:rsidR="00D6327D">
              <w:rPr>
                <w:rFonts w:ascii="Calibri" w:eastAsiaTheme="minorHAnsi" w:hAnsi="Calibri"/>
                <w:color w:val="948A54"/>
                <w:sz w:val="22"/>
                <w:szCs w:val="22"/>
              </w:rPr>
              <w:t>2</w:t>
            </w:r>
          </w:p>
          <w:p w14:paraId="5692B8A2" w14:textId="34892D3D" w:rsidR="00F90E49" w:rsidRDefault="0005523E" w:rsidP="00181920">
            <w:pPr>
              <w:numPr>
                <w:ilvl w:val="0"/>
                <w:numId w:val="6"/>
              </w:numPr>
              <w:rPr>
                <w:rFonts w:ascii="Calibri" w:eastAsiaTheme="minorHAnsi" w:hAnsi="Calibri"/>
                <w:color w:val="948A54"/>
                <w:sz w:val="22"/>
                <w:szCs w:val="22"/>
              </w:rPr>
            </w:pPr>
            <w:r w:rsidRPr="00181920">
              <w:rPr>
                <w:rFonts w:ascii="Calibri" w:eastAsiaTheme="minorHAnsi" w:hAnsi="Calibri"/>
                <w:color w:val="948A54"/>
                <w:sz w:val="22"/>
                <w:szCs w:val="22"/>
              </w:rPr>
              <w:t xml:space="preserve">Panel Proposals/Demo and Video Program/Interactive Artworks: </w:t>
            </w:r>
            <w:r w:rsidR="00181920" w:rsidRPr="00181920">
              <w:rPr>
                <w:rFonts w:ascii="Calibri" w:eastAsiaTheme="minorHAnsi" w:hAnsi="Calibri"/>
                <w:color w:val="948A54"/>
                <w:sz w:val="22"/>
                <w:szCs w:val="22"/>
              </w:rPr>
              <w:t>May</w:t>
            </w:r>
            <w:r w:rsidRPr="00181920">
              <w:rPr>
                <w:rFonts w:ascii="Calibri" w:eastAsiaTheme="minorHAnsi" w:hAnsi="Calibri"/>
                <w:color w:val="948A54"/>
                <w:sz w:val="22"/>
                <w:szCs w:val="22"/>
              </w:rPr>
              <w:t xml:space="preserve"> 15, 202</w:t>
            </w:r>
            <w:r w:rsidR="00181920" w:rsidRPr="00181920">
              <w:rPr>
                <w:rFonts w:ascii="Calibri" w:eastAsiaTheme="minorHAnsi" w:hAnsi="Calibri"/>
                <w:color w:val="948A54"/>
                <w:sz w:val="22"/>
                <w:szCs w:val="22"/>
              </w:rPr>
              <w:t>2</w:t>
            </w:r>
          </w:p>
          <w:p w14:paraId="0D994B8A" w14:textId="77777777" w:rsidR="00181920" w:rsidRPr="00181920" w:rsidRDefault="00181920" w:rsidP="00181920">
            <w:pPr>
              <w:ind w:left="360"/>
              <w:rPr>
                <w:rFonts w:ascii="Calibri" w:eastAsiaTheme="minorHAnsi" w:hAnsi="Calibri"/>
                <w:color w:val="948A54"/>
                <w:sz w:val="22"/>
                <w:szCs w:val="22"/>
              </w:rPr>
            </w:pPr>
          </w:p>
          <w:p w14:paraId="26C1CAC1" w14:textId="4E3CDC16" w:rsidR="009C17B2" w:rsidRDefault="009C17B2" w:rsidP="00181920">
            <w:pPr>
              <w:rPr>
                <w:rFonts w:ascii="Arial" w:hAnsi="Arial" w:cs="Arial"/>
                <w:sz w:val="28"/>
                <w:szCs w:val="32"/>
              </w:rPr>
            </w:pPr>
            <w:r w:rsidRPr="00603CC3">
              <w:rPr>
                <w:rFonts w:ascii="Arial" w:hAnsi="Arial" w:cs="Arial"/>
                <w:sz w:val="28"/>
                <w:szCs w:val="32"/>
              </w:rPr>
              <w:lastRenderedPageBreak/>
              <w:t>The</w:t>
            </w:r>
            <w:r w:rsidRPr="009748EB">
              <w:rPr>
                <w:rFonts w:ascii="Arial" w:hAnsi="Arial" w:cs="Arial"/>
                <w:sz w:val="28"/>
                <w:szCs w:val="32"/>
              </w:rPr>
              <w:t xml:space="preserve"> IEEE Symposium on Visual Languages &amp; Human-Centric Computing (VL/HCC 202</w:t>
            </w:r>
            <w:r>
              <w:rPr>
                <w:rFonts w:ascii="Arial" w:hAnsi="Arial" w:cs="Arial"/>
                <w:sz w:val="28"/>
                <w:szCs w:val="32"/>
              </w:rPr>
              <w:t>2</w:t>
            </w:r>
            <w:r w:rsidRPr="009748EB">
              <w:rPr>
                <w:rFonts w:ascii="Arial" w:hAnsi="Arial" w:cs="Arial"/>
                <w:sz w:val="28"/>
                <w:szCs w:val="32"/>
              </w:rPr>
              <w:t>)</w:t>
            </w:r>
          </w:p>
          <w:p w14:paraId="738C18E4" w14:textId="6746FBE6" w:rsidR="009C17B2" w:rsidRPr="00D140DF" w:rsidRDefault="009C17B2" w:rsidP="009C17B2">
            <w:pPr>
              <w:pStyle w:val="Heading3"/>
              <w:spacing w:before="0" w:line="216" w:lineRule="atLeast"/>
              <w:textAlignment w:val="baseline"/>
              <w:rPr>
                <w:rFonts w:ascii="Cambria" w:eastAsia="Times New Roman" w:hAnsi="Cambria" w:cs="Cambria"/>
                <w:color w:val="auto"/>
                <w:sz w:val="22"/>
                <w:szCs w:val="32"/>
                <w:lang w:eastAsia="en-US"/>
              </w:rPr>
            </w:pPr>
            <w:r w:rsidRPr="00D140DF">
              <w:rPr>
                <w:rFonts w:ascii="Cambria" w:eastAsia="Times New Roman" w:hAnsi="Cambria" w:cs="Cambria"/>
                <w:color w:val="auto"/>
                <w:sz w:val="22"/>
                <w:szCs w:val="32"/>
                <w:lang w:eastAsia="en-US"/>
              </w:rPr>
              <w:t>September 12-16, 2022</w:t>
            </w:r>
          </w:p>
          <w:p w14:paraId="60A3C74E" w14:textId="1BA39CD4" w:rsidR="009C17B2" w:rsidRDefault="009C17B2" w:rsidP="009C17B2">
            <w:pPr>
              <w:pStyle w:val="Heading3"/>
              <w:spacing w:before="0" w:line="216" w:lineRule="atLeast"/>
              <w:textAlignment w:val="baseline"/>
              <w:rPr>
                <w:rFonts w:eastAsia="Times New Roman"/>
                <w:color w:val="auto"/>
                <w:sz w:val="22"/>
                <w:szCs w:val="32"/>
              </w:rPr>
            </w:pPr>
            <w:r>
              <w:rPr>
                <w:rFonts w:eastAsia="Times New Roman"/>
                <w:color w:val="auto"/>
                <w:sz w:val="22"/>
                <w:szCs w:val="32"/>
              </w:rPr>
              <w:t xml:space="preserve">Rome, Italy </w:t>
            </w:r>
          </w:p>
          <w:p w14:paraId="0621EB82" w14:textId="6E8A5391" w:rsidR="009C17B2" w:rsidRDefault="00AD1806" w:rsidP="009C17B2">
            <w:pPr>
              <w:shd w:val="clear" w:color="auto" w:fill="FFFFFF"/>
            </w:pPr>
            <w:hyperlink r:id="rId10" w:history="1">
              <w:r w:rsidR="00D140DF" w:rsidRPr="00AA4E7A">
                <w:rPr>
                  <w:rStyle w:val="Hyperlink"/>
                </w:rPr>
                <w:t>https://conf.researchr.org/home/vlhcc-2022</w:t>
              </w:r>
            </w:hyperlink>
          </w:p>
          <w:p w14:paraId="5E62B2F4" w14:textId="77777777" w:rsidR="00D140DF" w:rsidRDefault="00D140DF" w:rsidP="009C17B2">
            <w:pPr>
              <w:shd w:val="clear" w:color="auto" w:fill="FFFFFF"/>
              <w:rPr>
                <w:rStyle w:val="Hyperlink"/>
              </w:rPr>
            </w:pPr>
          </w:p>
          <w:p w14:paraId="7A176320" w14:textId="5A001312" w:rsidR="00D140DF" w:rsidRPr="00D140DF" w:rsidRDefault="009C17B2" w:rsidP="009C17B2">
            <w:pPr>
              <w:shd w:val="clear" w:color="auto" w:fill="FFFFFF"/>
              <w:rPr>
                <w:rFonts w:ascii="Calibri" w:eastAsiaTheme="minorHAnsi" w:hAnsi="Calibri"/>
                <w:color w:val="948A54"/>
                <w:sz w:val="22"/>
                <w:szCs w:val="22"/>
              </w:rPr>
            </w:pPr>
            <w:r w:rsidRPr="00D140DF">
              <w:rPr>
                <w:rFonts w:ascii="Calibri" w:eastAsiaTheme="minorHAnsi" w:hAnsi="Calibri"/>
                <w:color w:val="948A54"/>
                <w:sz w:val="22"/>
                <w:szCs w:val="22"/>
              </w:rPr>
              <w:t>Established in 1984, the mission of the conference is to support the design, theory, application, and evaluation of computing technologies and languages for programming, modeling, and communicating, which are easier to learn, use, and understand by people.</w:t>
            </w:r>
            <w:r w:rsidR="00D140DF" w:rsidRPr="00D140DF">
              <w:rPr>
                <w:rFonts w:ascii="Calibri" w:eastAsiaTheme="minorHAnsi" w:hAnsi="Calibri"/>
                <w:color w:val="948A54"/>
                <w:sz w:val="22"/>
                <w:szCs w:val="22"/>
              </w:rPr>
              <w:t xml:space="preserve"> </w:t>
            </w:r>
            <w:r w:rsidR="00EC5F89">
              <w:rPr>
                <w:rFonts w:ascii="Calibri" w:eastAsiaTheme="minorHAnsi" w:hAnsi="Calibri"/>
                <w:color w:val="948A54"/>
                <w:sz w:val="22"/>
                <w:szCs w:val="22"/>
              </w:rPr>
              <w:t>W</w:t>
            </w:r>
            <w:r w:rsidR="00EC5F89" w:rsidRPr="00EC5F89">
              <w:rPr>
                <w:rFonts w:ascii="Calibri" w:eastAsiaTheme="minorHAnsi" w:hAnsi="Calibri"/>
                <w:color w:val="948A54"/>
                <w:sz w:val="22"/>
                <w:szCs w:val="22"/>
              </w:rPr>
              <w:t>e especially welcome papers at VL/HCC that design, build, or evaluate technologies involving or relating to human-centric AI and issues of human-centric AI, such as trust and fairness.</w:t>
            </w:r>
          </w:p>
          <w:p w14:paraId="0F872FCE" w14:textId="27465E04" w:rsidR="00D140DF" w:rsidRPr="00D140DF" w:rsidRDefault="00D140DF" w:rsidP="009C17B2">
            <w:pPr>
              <w:shd w:val="clear" w:color="auto" w:fill="FFFFFF"/>
              <w:rPr>
                <w:rFonts w:ascii="Calibri" w:eastAsiaTheme="minorHAnsi" w:hAnsi="Calibri"/>
                <w:color w:val="948A54"/>
                <w:sz w:val="22"/>
                <w:szCs w:val="22"/>
              </w:rPr>
            </w:pPr>
            <w:r w:rsidRPr="00D140DF">
              <w:rPr>
                <w:rFonts w:ascii="Calibri" w:eastAsiaTheme="minorHAnsi" w:hAnsi="Calibri"/>
                <w:color w:val="948A54"/>
                <w:sz w:val="22"/>
                <w:szCs w:val="22"/>
              </w:rPr>
              <w:t>Areas of interest include, but are not limited to:</w:t>
            </w:r>
          </w:p>
          <w:p w14:paraId="2DD8A91A" w14:textId="77777777" w:rsid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Visual Languages</w:t>
            </w:r>
          </w:p>
          <w:p w14:paraId="6FF571CF" w14:textId="6BDC0975" w:rsidR="00D140DF" w:rsidRP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Human aspects and psychology of software development and language design</w:t>
            </w:r>
          </w:p>
          <w:p w14:paraId="361C0511" w14:textId="7363C47D" w:rsidR="00D140DF" w:rsidRP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End-user development</w:t>
            </w:r>
          </w:p>
          <w:p w14:paraId="6BFB222F" w14:textId="77777777" w:rsidR="00D140DF" w:rsidRP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Crowdsourcing design and development work</w:t>
            </w:r>
          </w:p>
          <w:p w14:paraId="1C5B4A14" w14:textId="5575DA55" w:rsidR="00D140DF" w:rsidRP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Representations</w:t>
            </w:r>
          </w:p>
          <w:p w14:paraId="7535B568" w14:textId="2545D083" w:rsidR="00D140DF" w:rsidRP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Modeling</w:t>
            </w:r>
          </w:p>
          <w:p w14:paraId="287D5650" w14:textId="35875A92" w:rsidR="00D140DF" w:rsidRDefault="00D140DF" w:rsidP="00D140DF">
            <w:pPr>
              <w:numPr>
                <w:ilvl w:val="0"/>
                <w:numId w:val="12"/>
              </w:numPr>
              <w:rPr>
                <w:rFonts w:ascii="Calibri" w:eastAsiaTheme="minorHAnsi" w:hAnsi="Calibri"/>
                <w:color w:val="948A54"/>
                <w:sz w:val="22"/>
                <w:szCs w:val="22"/>
              </w:rPr>
            </w:pPr>
            <w:r w:rsidRPr="00D140DF">
              <w:rPr>
                <w:rFonts w:ascii="Calibri" w:eastAsiaTheme="minorHAnsi" w:hAnsi="Calibri"/>
                <w:color w:val="948A54"/>
                <w:sz w:val="22"/>
                <w:szCs w:val="22"/>
              </w:rPr>
              <w:t>Thinking more deeply about code</w:t>
            </w:r>
          </w:p>
          <w:p w14:paraId="0A4DE9E8" w14:textId="374E1A5D" w:rsidR="009C17B2" w:rsidRDefault="009C17B2" w:rsidP="009C17B2">
            <w:pPr>
              <w:shd w:val="clear" w:color="auto" w:fill="FFFFFF"/>
              <w:rPr>
                <w:rStyle w:val="Hyperlink"/>
              </w:rPr>
            </w:pPr>
          </w:p>
          <w:p w14:paraId="4A56243F" w14:textId="4FE8873C" w:rsidR="00EC5F89" w:rsidRDefault="00EC5F89" w:rsidP="009C17B2">
            <w:pPr>
              <w:shd w:val="clear" w:color="auto" w:fill="FFFFFF"/>
              <w:rPr>
                <w:rFonts w:ascii="Calibri" w:eastAsiaTheme="minorHAnsi" w:hAnsi="Calibri"/>
                <w:color w:val="948A54"/>
                <w:sz w:val="22"/>
                <w:szCs w:val="22"/>
              </w:rPr>
            </w:pPr>
            <w:r w:rsidRPr="00EC5F89">
              <w:rPr>
                <w:rFonts w:ascii="Calibri" w:eastAsiaTheme="minorHAnsi" w:hAnsi="Calibri"/>
                <w:color w:val="948A54"/>
                <w:sz w:val="22"/>
                <w:szCs w:val="22"/>
              </w:rPr>
              <w:t>A select number of accepted papers will also be invited to optionally submit a revised and extended paper to a special issue of the Journal of Computer Languages (COLA). These papers will also go through the journal’s normal reviewing process. Papers accepted at both would appear both in the proceedings for VL/HCC 2022 and in COLA.</w:t>
            </w:r>
          </w:p>
          <w:p w14:paraId="2698DFA4" w14:textId="77777777" w:rsidR="00EC5F89" w:rsidRPr="00EC5F89" w:rsidRDefault="00EC5F89" w:rsidP="009C17B2">
            <w:pPr>
              <w:shd w:val="clear" w:color="auto" w:fill="FFFFFF"/>
              <w:rPr>
                <w:rFonts w:ascii="Calibri" w:eastAsiaTheme="minorHAnsi" w:hAnsi="Calibri"/>
                <w:color w:val="948A54"/>
                <w:sz w:val="22"/>
                <w:szCs w:val="22"/>
              </w:rPr>
            </w:pPr>
          </w:p>
          <w:p w14:paraId="6A13278B" w14:textId="77777777" w:rsidR="009C17B2" w:rsidRDefault="009C17B2" w:rsidP="009C17B2">
            <w:pPr>
              <w:shd w:val="clear" w:color="auto" w:fill="FFFFFF"/>
              <w:rPr>
                <w:rFonts w:ascii="Cambria" w:hAnsi="Cambria"/>
                <w:b/>
                <w:bCs/>
                <w:i/>
                <w:iCs/>
                <w:color w:val="4F81BD"/>
              </w:rPr>
            </w:pPr>
            <w:r>
              <w:rPr>
                <w:rFonts w:ascii="Cambria" w:hAnsi="Cambria"/>
                <w:b/>
                <w:bCs/>
                <w:i/>
                <w:iCs/>
                <w:color w:val="4F81BD"/>
              </w:rPr>
              <w:t>Important Dates:</w:t>
            </w:r>
          </w:p>
          <w:p w14:paraId="7BE0FD86" w14:textId="7B72E08F" w:rsidR="009C17B2" w:rsidRPr="00603CC3" w:rsidRDefault="009C17B2" w:rsidP="00D140DF">
            <w:pPr>
              <w:pStyle w:val="ListParagraph"/>
              <w:numPr>
                <w:ilvl w:val="0"/>
                <w:numId w:val="12"/>
              </w:numPr>
              <w:rPr>
                <w:rFonts w:ascii="Calibri" w:hAnsi="Calibri"/>
                <w:iCs/>
                <w:color w:val="948A54"/>
                <w:sz w:val="22"/>
                <w:szCs w:val="22"/>
              </w:rPr>
            </w:pPr>
            <w:r w:rsidRPr="00603CC3">
              <w:rPr>
                <w:rFonts w:ascii="Calibri" w:eastAsiaTheme="minorHAnsi" w:hAnsi="Calibri"/>
                <w:color w:val="948A54"/>
                <w:sz w:val="22"/>
                <w:szCs w:val="22"/>
              </w:rPr>
              <w:t>Graduate Consortium</w:t>
            </w:r>
            <w:r>
              <w:rPr>
                <w:rFonts w:ascii="Calibri" w:eastAsiaTheme="minorHAnsi" w:hAnsi="Calibri"/>
                <w:color w:val="948A54"/>
                <w:sz w:val="22"/>
                <w:szCs w:val="22"/>
              </w:rPr>
              <w:t xml:space="preserve">: </w:t>
            </w:r>
            <w:r w:rsidR="00D140DF">
              <w:rPr>
                <w:rFonts w:ascii="Calibri" w:eastAsiaTheme="minorHAnsi" w:hAnsi="Calibri"/>
                <w:color w:val="948A54"/>
                <w:sz w:val="22"/>
                <w:szCs w:val="22"/>
              </w:rPr>
              <w:t>May</w:t>
            </w:r>
            <w:r>
              <w:rPr>
                <w:rFonts w:ascii="Calibri" w:eastAsiaTheme="minorHAnsi" w:hAnsi="Calibri"/>
                <w:color w:val="948A54"/>
                <w:sz w:val="22"/>
                <w:szCs w:val="22"/>
              </w:rPr>
              <w:t xml:space="preserve"> 1</w:t>
            </w:r>
            <w:r w:rsidR="00D140DF">
              <w:rPr>
                <w:rFonts w:ascii="Calibri" w:eastAsiaTheme="minorHAnsi" w:hAnsi="Calibri"/>
                <w:color w:val="948A54"/>
                <w:sz w:val="22"/>
                <w:szCs w:val="22"/>
              </w:rPr>
              <w:t>2</w:t>
            </w:r>
            <w:r>
              <w:rPr>
                <w:rFonts w:ascii="Calibri" w:eastAsiaTheme="minorHAnsi" w:hAnsi="Calibri"/>
                <w:color w:val="948A54"/>
                <w:sz w:val="22"/>
                <w:szCs w:val="22"/>
              </w:rPr>
              <w:t>, 202</w:t>
            </w:r>
            <w:r w:rsidR="00D140DF">
              <w:rPr>
                <w:rFonts w:ascii="Calibri" w:eastAsiaTheme="minorHAnsi" w:hAnsi="Calibri"/>
                <w:color w:val="948A54"/>
                <w:sz w:val="22"/>
                <w:szCs w:val="22"/>
              </w:rPr>
              <w:t>2</w:t>
            </w:r>
          </w:p>
          <w:p w14:paraId="016AEB74" w14:textId="6A42CF5B" w:rsidR="009C17B2" w:rsidRPr="00603CC3" w:rsidRDefault="009C17B2" w:rsidP="00D140DF">
            <w:pPr>
              <w:pStyle w:val="ListParagraph"/>
              <w:numPr>
                <w:ilvl w:val="0"/>
                <w:numId w:val="12"/>
              </w:numPr>
              <w:rPr>
                <w:rFonts w:ascii="Calibri" w:hAnsi="Calibri"/>
                <w:iCs/>
                <w:color w:val="948A54"/>
                <w:sz w:val="22"/>
                <w:szCs w:val="22"/>
              </w:rPr>
            </w:pPr>
            <w:r w:rsidRPr="00603CC3">
              <w:rPr>
                <w:rFonts w:ascii="Calibri" w:eastAsiaTheme="minorHAnsi" w:hAnsi="Calibri"/>
                <w:color w:val="948A54"/>
                <w:sz w:val="22"/>
                <w:szCs w:val="22"/>
              </w:rPr>
              <w:t>Posters and Showpieces</w:t>
            </w:r>
            <w:r>
              <w:rPr>
                <w:rFonts w:ascii="Calibri" w:eastAsiaTheme="minorHAnsi" w:hAnsi="Calibri"/>
                <w:color w:val="948A54"/>
                <w:sz w:val="22"/>
                <w:szCs w:val="22"/>
              </w:rPr>
              <w:t xml:space="preserve">: </w:t>
            </w:r>
            <w:r w:rsidR="00D140DF">
              <w:rPr>
                <w:rFonts w:ascii="Calibri" w:eastAsiaTheme="minorHAnsi" w:hAnsi="Calibri"/>
                <w:color w:val="948A54"/>
                <w:sz w:val="22"/>
                <w:szCs w:val="22"/>
              </w:rPr>
              <w:t>May</w:t>
            </w:r>
            <w:r>
              <w:rPr>
                <w:rFonts w:ascii="Calibri" w:eastAsiaTheme="minorHAnsi" w:hAnsi="Calibri"/>
                <w:color w:val="948A54"/>
                <w:sz w:val="22"/>
                <w:szCs w:val="22"/>
              </w:rPr>
              <w:t xml:space="preserve"> 1</w:t>
            </w:r>
            <w:r w:rsidR="00D140DF">
              <w:rPr>
                <w:rFonts w:ascii="Calibri" w:eastAsiaTheme="minorHAnsi" w:hAnsi="Calibri"/>
                <w:color w:val="948A54"/>
                <w:sz w:val="22"/>
                <w:szCs w:val="22"/>
              </w:rPr>
              <w:t>3</w:t>
            </w:r>
            <w:r>
              <w:rPr>
                <w:rFonts w:ascii="Calibri" w:eastAsiaTheme="minorHAnsi" w:hAnsi="Calibri"/>
                <w:color w:val="948A54"/>
                <w:sz w:val="22"/>
                <w:szCs w:val="22"/>
              </w:rPr>
              <w:t>, 202</w:t>
            </w:r>
            <w:r w:rsidR="00D140DF">
              <w:rPr>
                <w:rFonts w:ascii="Calibri" w:eastAsiaTheme="minorHAnsi" w:hAnsi="Calibri"/>
                <w:color w:val="948A54"/>
                <w:sz w:val="22"/>
                <w:szCs w:val="22"/>
              </w:rPr>
              <w:t>2</w:t>
            </w:r>
          </w:p>
          <w:p w14:paraId="60BBFC10" w14:textId="77777777" w:rsidR="009C17B2" w:rsidRDefault="009C17B2" w:rsidP="00F90E49">
            <w:pPr>
              <w:rPr>
                <w:rFonts w:ascii="Arial" w:hAnsi="Arial" w:cs="Arial"/>
                <w:sz w:val="28"/>
                <w:szCs w:val="32"/>
              </w:rPr>
            </w:pPr>
          </w:p>
          <w:p w14:paraId="2B925AD3" w14:textId="29604692" w:rsidR="00046C2D" w:rsidRPr="00DE3CB7" w:rsidRDefault="00046C2D" w:rsidP="00EC5F89">
            <w:pPr>
              <w:rPr>
                <w:rFonts w:ascii="Calibri" w:eastAsiaTheme="minorHAnsi" w:hAnsi="Calibri"/>
                <w:color w:val="948A54"/>
                <w:sz w:val="22"/>
                <w:szCs w:val="22"/>
              </w:rPr>
            </w:pP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7D5F58C2" w14:textId="64CB1887" w:rsidR="00EC5F89" w:rsidRDefault="00744C7F" w:rsidP="00CE743D">
            <w:pPr>
              <w:rPr>
                <w:rFonts w:ascii="Arial" w:hAnsi="Arial" w:cs="Arial"/>
                <w:sz w:val="27"/>
                <w:szCs w:val="27"/>
              </w:rPr>
            </w:pPr>
            <w:r w:rsidRPr="00744C7F">
              <w:rPr>
                <w:rFonts w:ascii="Arial" w:hAnsi="Arial" w:cs="Arial"/>
                <w:sz w:val="27"/>
                <w:szCs w:val="27"/>
              </w:rPr>
              <w:lastRenderedPageBreak/>
              <w:t>IEEE Computer magazine SI on Five Decades of Biometrics and Video Surveillance</w:t>
            </w:r>
          </w:p>
          <w:p w14:paraId="0370672D" w14:textId="77777777" w:rsidR="00991365" w:rsidRDefault="00AD1806" w:rsidP="00991365">
            <w:hyperlink r:id="rId11" w:tgtFrame="_blank" w:tooltip="https://www.computer.org/digital-library/magazines/co/cfp-biometrics-video-surveillance" w:history="1">
              <w:r w:rsidR="00991365">
                <w:rPr>
                  <w:rStyle w:val="Hyperlink"/>
                  <w:rFonts w:ascii="Verdana" w:hAnsi="Verdana"/>
                  <w:sz w:val="21"/>
                  <w:szCs w:val="21"/>
                </w:rPr>
                <w:t>https://www.computer.org/digital-library/magazines/co/cfp-biometrics-video-surveillance</w:t>
              </w:r>
            </w:hyperlink>
          </w:p>
          <w:p w14:paraId="5E78EA67" w14:textId="77777777" w:rsidR="00991365" w:rsidRDefault="00991365" w:rsidP="00CE743D">
            <w:pPr>
              <w:rPr>
                <w:rFonts w:ascii="Arial" w:hAnsi="Arial" w:cs="Arial"/>
                <w:sz w:val="27"/>
                <w:szCs w:val="27"/>
              </w:rPr>
            </w:pPr>
          </w:p>
          <w:p w14:paraId="2EA7CE58" w14:textId="78817556" w:rsidR="00744C7F" w:rsidRPr="00744C7F" w:rsidRDefault="00744C7F" w:rsidP="00744C7F">
            <w:pPr>
              <w:pStyle w:val="NormalWeb"/>
              <w:spacing w:after="150"/>
              <w:rPr>
                <w:rFonts w:ascii="Calibri" w:hAnsi="Calibri"/>
                <w:color w:val="948A54"/>
                <w:sz w:val="22"/>
                <w:szCs w:val="22"/>
              </w:rPr>
            </w:pPr>
            <w:r w:rsidRPr="00744C7F">
              <w:rPr>
                <w:rFonts w:ascii="Calibri" w:hAnsi="Calibri"/>
                <w:color w:val="948A54"/>
                <w:sz w:val="22"/>
                <w:szCs w:val="22"/>
              </w:rPr>
              <w:t>This special issue commemorates the five decades of biometric and visual surveillance and will focus on presenting new and incremental research depicting present biometric and surveillance technologies and future possibilities of them for the current and future generations. Topics include, but are not limited to:</w:t>
            </w:r>
            <w:r>
              <w:rPr>
                <w:rFonts w:ascii="Calibri" w:hAnsi="Calibri"/>
                <w:color w:val="948A54"/>
                <w:sz w:val="22"/>
                <w:szCs w:val="22"/>
              </w:rPr>
              <w:t xml:space="preserve"> </w:t>
            </w:r>
            <w:r w:rsidRPr="00744C7F">
              <w:rPr>
                <w:rFonts w:ascii="Calibri" w:hAnsi="Calibri"/>
                <w:color w:val="948A54"/>
                <w:sz w:val="22"/>
                <w:szCs w:val="22"/>
              </w:rPr>
              <w:t>Present methodologies for biometrics and their limitations</w:t>
            </w:r>
            <w:r>
              <w:rPr>
                <w:rFonts w:ascii="Calibri" w:hAnsi="Calibri"/>
                <w:color w:val="948A54"/>
                <w:sz w:val="22"/>
                <w:szCs w:val="22"/>
              </w:rPr>
              <w:t xml:space="preserve">; </w:t>
            </w:r>
            <w:r w:rsidRPr="00744C7F">
              <w:rPr>
                <w:rFonts w:ascii="Calibri" w:hAnsi="Calibri"/>
                <w:color w:val="948A54"/>
                <w:sz w:val="22"/>
                <w:szCs w:val="22"/>
              </w:rPr>
              <w:t>Mobile biometrics</w:t>
            </w:r>
            <w:r>
              <w:rPr>
                <w:rFonts w:ascii="Calibri" w:hAnsi="Calibri"/>
                <w:color w:val="948A54"/>
                <w:sz w:val="22"/>
                <w:szCs w:val="22"/>
              </w:rPr>
              <w:t xml:space="preserve">; </w:t>
            </w:r>
            <w:r w:rsidRPr="00744C7F">
              <w:rPr>
                <w:rFonts w:ascii="Calibri" w:hAnsi="Calibri"/>
                <w:color w:val="948A54"/>
                <w:sz w:val="22"/>
                <w:szCs w:val="22"/>
              </w:rPr>
              <w:t>Cancelable and soft biometrics</w:t>
            </w:r>
            <w:r>
              <w:rPr>
                <w:rFonts w:ascii="Calibri" w:hAnsi="Calibri"/>
                <w:color w:val="948A54"/>
                <w:sz w:val="22"/>
                <w:szCs w:val="22"/>
              </w:rPr>
              <w:t xml:space="preserve">; </w:t>
            </w:r>
            <w:proofErr w:type="spellStart"/>
            <w:r w:rsidRPr="00744C7F">
              <w:rPr>
                <w:rFonts w:ascii="Calibri" w:hAnsi="Calibri"/>
                <w:color w:val="948A54"/>
                <w:sz w:val="22"/>
                <w:szCs w:val="22"/>
              </w:rPr>
              <w:t>Cyberphysical</w:t>
            </w:r>
            <w:proofErr w:type="spellEnd"/>
            <w:r w:rsidRPr="00744C7F">
              <w:rPr>
                <w:rFonts w:ascii="Calibri" w:hAnsi="Calibri"/>
                <w:color w:val="948A54"/>
                <w:sz w:val="22"/>
                <w:szCs w:val="22"/>
              </w:rPr>
              <w:t xml:space="preserve"> systems for cloud-based surveillance</w:t>
            </w:r>
            <w:r>
              <w:rPr>
                <w:rFonts w:ascii="Calibri" w:hAnsi="Calibri"/>
                <w:color w:val="948A54"/>
                <w:sz w:val="22"/>
                <w:szCs w:val="22"/>
              </w:rPr>
              <w:t xml:space="preserve">; </w:t>
            </w:r>
            <w:proofErr w:type="gramStart"/>
            <w:r w:rsidRPr="00744C7F">
              <w:rPr>
                <w:rFonts w:ascii="Calibri" w:hAnsi="Calibri"/>
                <w:color w:val="948A54"/>
                <w:sz w:val="22"/>
                <w:szCs w:val="22"/>
              </w:rPr>
              <w:t>Multi-camera</w:t>
            </w:r>
            <w:proofErr w:type="gramEnd"/>
            <w:r w:rsidRPr="00744C7F">
              <w:rPr>
                <w:rFonts w:ascii="Calibri" w:hAnsi="Calibri"/>
                <w:color w:val="948A54"/>
                <w:sz w:val="22"/>
                <w:szCs w:val="22"/>
              </w:rPr>
              <w:t xml:space="preserve"> network for surveillance</w:t>
            </w:r>
            <w:r>
              <w:rPr>
                <w:rFonts w:ascii="Calibri" w:hAnsi="Calibri"/>
                <w:color w:val="948A54"/>
                <w:sz w:val="22"/>
                <w:szCs w:val="22"/>
              </w:rPr>
              <w:t xml:space="preserve">; </w:t>
            </w:r>
            <w:r w:rsidRPr="00744C7F">
              <w:rPr>
                <w:rFonts w:ascii="Calibri" w:hAnsi="Calibri"/>
                <w:color w:val="948A54"/>
                <w:sz w:val="22"/>
                <w:szCs w:val="22"/>
              </w:rPr>
              <w:t xml:space="preserve">Surveillance over smart affective </w:t>
            </w:r>
            <w:r w:rsidRPr="00744C7F">
              <w:rPr>
                <w:rFonts w:ascii="Calibri" w:hAnsi="Calibri"/>
                <w:color w:val="948A54"/>
                <w:sz w:val="22"/>
                <w:szCs w:val="22"/>
              </w:rPr>
              <w:lastRenderedPageBreak/>
              <w:t>environments</w:t>
            </w:r>
            <w:r>
              <w:rPr>
                <w:rFonts w:ascii="Calibri" w:hAnsi="Calibri"/>
                <w:color w:val="948A54"/>
                <w:sz w:val="22"/>
                <w:szCs w:val="22"/>
              </w:rPr>
              <w:t xml:space="preserve">; </w:t>
            </w:r>
            <w:r w:rsidRPr="00744C7F">
              <w:rPr>
                <w:rFonts w:ascii="Calibri" w:hAnsi="Calibri"/>
                <w:color w:val="948A54"/>
                <w:sz w:val="22"/>
                <w:szCs w:val="22"/>
              </w:rPr>
              <w:t>Biometrics and surveillance in Industry 4.0</w:t>
            </w:r>
            <w:r>
              <w:rPr>
                <w:rFonts w:ascii="Calibri" w:hAnsi="Calibri"/>
                <w:color w:val="948A54"/>
                <w:sz w:val="22"/>
                <w:szCs w:val="22"/>
              </w:rPr>
              <w:t xml:space="preserve">; </w:t>
            </w:r>
            <w:r w:rsidRPr="00744C7F">
              <w:rPr>
                <w:rFonts w:ascii="Calibri" w:hAnsi="Calibri"/>
                <w:color w:val="948A54"/>
                <w:sz w:val="22"/>
                <w:szCs w:val="22"/>
              </w:rPr>
              <w:t>Biometrics-as-a-Service</w:t>
            </w:r>
            <w:r>
              <w:rPr>
                <w:rFonts w:ascii="Calibri" w:hAnsi="Calibri"/>
                <w:color w:val="948A54"/>
                <w:sz w:val="22"/>
                <w:szCs w:val="22"/>
              </w:rPr>
              <w:t xml:space="preserve">; </w:t>
            </w:r>
            <w:r w:rsidRPr="00744C7F">
              <w:rPr>
                <w:rFonts w:ascii="Calibri" w:hAnsi="Calibri"/>
                <w:color w:val="948A54"/>
                <w:sz w:val="22"/>
                <w:szCs w:val="22"/>
              </w:rPr>
              <w:t>Legal, ethical, and regulation factors for biometrics and surveillance</w:t>
            </w:r>
          </w:p>
          <w:p w14:paraId="1CDB9252" w14:textId="50995559" w:rsidR="00744C7F" w:rsidRDefault="00744C7F" w:rsidP="00CE743D">
            <w:pPr>
              <w:rPr>
                <w:rFonts w:ascii="Cambria" w:hAnsi="Cambria"/>
                <w:b/>
                <w:bCs/>
                <w:i/>
                <w:iCs/>
                <w:color w:val="4F81BD"/>
              </w:rPr>
            </w:pPr>
            <w:r w:rsidRPr="00203153">
              <w:rPr>
                <w:rFonts w:ascii="Cambria" w:hAnsi="Cambria"/>
                <w:b/>
                <w:bCs/>
                <w:i/>
                <w:iCs/>
                <w:color w:val="4F81BD"/>
              </w:rPr>
              <w:t>Important Dates:</w:t>
            </w:r>
          </w:p>
          <w:p w14:paraId="6C1E630F" w14:textId="77777777" w:rsidR="00991365" w:rsidRDefault="00991365" w:rsidP="00991365">
            <w:pPr>
              <w:numPr>
                <w:ilvl w:val="0"/>
                <w:numId w:val="12"/>
              </w:numPr>
              <w:rPr>
                <w:rFonts w:ascii="Calibri" w:hAnsi="Calibri"/>
                <w:iCs/>
                <w:color w:val="948A54"/>
                <w:sz w:val="22"/>
                <w:szCs w:val="22"/>
                <w:lang w:eastAsia="en-US"/>
              </w:rPr>
            </w:pPr>
            <w:r w:rsidRPr="00991365">
              <w:rPr>
                <w:rFonts w:ascii="Calibri" w:hAnsi="Calibri"/>
                <w:iCs/>
                <w:color w:val="948A54"/>
                <w:sz w:val="22"/>
                <w:szCs w:val="22"/>
                <w:lang w:eastAsia="en-US"/>
              </w:rPr>
              <w:t xml:space="preserve">Submissions: </w:t>
            </w:r>
            <w:r>
              <w:rPr>
                <w:rFonts w:ascii="Calibri" w:hAnsi="Calibri"/>
                <w:iCs/>
                <w:color w:val="948A54"/>
                <w:sz w:val="22"/>
                <w:szCs w:val="22"/>
                <w:lang w:eastAsia="en-US"/>
              </w:rPr>
              <w:t xml:space="preserve">December </w:t>
            </w:r>
            <w:r w:rsidRPr="00991365">
              <w:rPr>
                <w:rFonts w:ascii="Calibri" w:hAnsi="Calibri"/>
                <w:iCs/>
                <w:color w:val="948A54"/>
                <w:sz w:val="22"/>
                <w:szCs w:val="22"/>
                <w:lang w:eastAsia="en-US"/>
              </w:rPr>
              <w:t>19</w:t>
            </w:r>
            <w:r>
              <w:rPr>
                <w:rFonts w:ascii="Calibri" w:hAnsi="Calibri"/>
                <w:iCs/>
                <w:color w:val="948A54"/>
                <w:sz w:val="22"/>
                <w:szCs w:val="22"/>
                <w:lang w:eastAsia="en-US"/>
              </w:rPr>
              <w:t>,</w:t>
            </w:r>
            <w:r w:rsidRPr="00991365">
              <w:rPr>
                <w:rFonts w:ascii="Calibri" w:hAnsi="Calibri"/>
                <w:iCs/>
                <w:color w:val="948A54"/>
                <w:sz w:val="22"/>
                <w:szCs w:val="22"/>
                <w:lang w:eastAsia="en-US"/>
              </w:rPr>
              <w:t xml:space="preserve"> 2022</w:t>
            </w:r>
          </w:p>
          <w:p w14:paraId="7F8A91FF" w14:textId="1056C709" w:rsidR="00991365" w:rsidRPr="00991365" w:rsidRDefault="00991365" w:rsidP="00991365">
            <w:pPr>
              <w:numPr>
                <w:ilvl w:val="0"/>
                <w:numId w:val="12"/>
              </w:numPr>
              <w:rPr>
                <w:rFonts w:ascii="Calibri" w:hAnsi="Calibri"/>
                <w:iCs/>
                <w:color w:val="948A54"/>
                <w:sz w:val="22"/>
                <w:szCs w:val="22"/>
                <w:lang w:eastAsia="en-US"/>
              </w:rPr>
            </w:pPr>
            <w:r w:rsidRPr="00991365">
              <w:rPr>
                <w:rFonts w:ascii="Calibri" w:hAnsi="Calibri"/>
                <w:iCs/>
                <w:color w:val="948A54"/>
                <w:sz w:val="22"/>
                <w:szCs w:val="22"/>
                <w:lang w:eastAsia="en-US"/>
              </w:rPr>
              <w:t>Publication: August 2023</w:t>
            </w:r>
          </w:p>
          <w:p w14:paraId="256C131F" w14:textId="77777777" w:rsidR="00744C7F" w:rsidRDefault="00744C7F" w:rsidP="00CE743D">
            <w:pPr>
              <w:rPr>
                <w:rFonts w:ascii="Arial" w:hAnsi="Arial" w:cs="Arial"/>
                <w:sz w:val="27"/>
                <w:szCs w:val="27"/>
              </w:rPr>
            </w:pPr>
          </w:p>
          <w:p w14:paraId="74F6CF28" w14:textId="3C1143B5" w:rsidR="00CE743D" w:rsidRPr="00641A6F" w:rsidRDefault="00CE743D" w:rsidP="00CE743D">
            <w:pPr>
              <w:rPr>
                <w:rFonts w:ascii="Calibri" w:hAnsi="Calibri"/>
                <w:color w:val="948A54"/>
                <w:sz w:val="27"/>
                <w:szCs w:val="27"/>
              </w:rPr>
            </w:pPr>
            <w:r w:rsidRPr="00641A6F">
              <w:rPr>
                <w:rFonts w:ascii="Arial" w:hAnsi="Arial" w:cs="Arial"/>
                <w:sz w:val="27"/>
                <w:szCs w:val="27"/>
              </w:rPr>
              <w:t>International Journal of Multimedia Data Engineering and Management</w:t>
            </w:r>
          </w:p>
          <w:p w14:paraId="3B762E70" w14:textId="77777777" w:rsidR="00CE743D" w:rsidRDefault="00AD1806" w:rsidP="00CE743D">
            <w:pPr>
              <w:pStyle w:val="HTMLBody"/>
              <w:autoSpaceDE/>
              <w:autoSpaceDN/>
              <w:rPr>
                <w:rStyle w:val="Hyperlink"/>
                <w:rFonts w:ascii="Times New Roman" w:hAnsi="Times New Roman"/>
                <w:sz w:val="22"/>
                <w:szCs w:val="22"/>
              </w:rPr>
            </w:pPr>
            <w:hyperlink r:id="rId12" w:history="1">
              <w:r w:rsidR="00CE743D"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Content-based retrieval (image, video, audio, etc.) </w:t>
            </w:r>
          </w:p>
          <w:p w14:paraId="44161994"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Media representation, processing and quality measurement </w:t>
            </w:r>
          </w:p>
          <w:p w14:paraId="3A1C5C9C"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 xml:space="preserve">Multimedia networking, communications and streaming </w:t>
            </w:r>
          </w:p>
          <w:p w14:paraId="79107587" w14:textId="77777777" w:rsidR="00CE743D" w:rsidRPr="00943E06" w:rsidRDefault="00CE743D" w:rsidP="00CE743D">
            <w:pPr>
              <w:numPr>
                <w:ilvl w:val="0"/>
                <w:numId w:val="13"/>
              </w:numPr>
              <w:rPr>
                <w:rFonts w:ascii="Calibri" w:hAnsi="Calibri"/>
                <w:color w:val="948A54"/>
                <w:sz w:val="22"/>
                <w:szCs w:val="22"/>
              </w:rPr>
            </w:pPr>
            <w:r w:rsidRPr="00943E06">
              <w:rPr>
                <w:rFonts w:ascii="Calibri" w:hAnsi="Calibri"/>
                <w:color w:val="948A54"/>
                <w:sz w:val="22"/>
                <w:szCs w:val="22"/>
              </w:rPr>
              <w:t>Multimedia systems and infrastructures</w:t>
            </w:r>
          </w:p>
          <w:p w14:paraId="0779AAB7" w14:textId="77777777" w:rsidR="00CE743D" w:rsidRPr="00046C2D" w:rsidRDefault="00CE743D" w:rsidP="00CE743D">
            <w:pPr>
              <w:numPr>
                <w:ilvl w:val="0"/>
                <w:numId w:val="13"/>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E743D">
            <w:pPr>
              <w:numPr>
                <w:ilvl w:val="0"/>
                <w:numId w:val="13"/>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77777777" w:rsidR="00CE743D" w:rsidRPr="003B7E02" w:rsidRDefault="00CE743D" w:rsidP="003B7E02">
            <w:pPr>
              <w:rPr>
                <w:rFonts w:ascii="Calibri" w:hAnsi="Calibri"/>
                <w:iCs/>
                <w:color w:val="948A54"/>
                <w:sz w:val="22"/>
                <w:szCs w:val="22"/>
                <w:lang w:eastAsia="en-US"/>
              </w:rPr>
            </w:pPr>
            <w:r w:rsidRPr="003B7E02">
              <w:rPr>
                <w:rFonts w:ascii="Calibri" w:hAnsi="Calibri"/>
                <w:color w:val="948A54"/>
                <w:sz w:val="22"/>
                <w:szCs w:val="22"/>
              </w:rPr>
              <w:t>Chengcui Zhang (University of Alabama at Birmingham) and Shu-Ching Chen (Florida International University, USA)</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 xml:space="preserve">EEE </w:t>
            </w:r>
            <w:proofErr w:type="spellStart"/>
            <w:r>
              <w:rPr>
                <w:rFonts w:ascii="Arial" w:hAnsi="Arial" w:cs="Arial"/>
                <w:sz w:val="28"/>
                <w:szCs w:val="32"/>
              </w:rPr>
              <w:t>MultiMedia</w:t>
            </w:r>
            <w:proofErr w:type="spellEnd"/>
          </w:p>
          <w:p w14:paraId="4D51B579" w14:textId="593091ED" w:rsidR="008C57E4" w:rsidRPr="00BA0805" w:rsidRDefault="008C57E4" w:rsidP="008C57E4">
            <w:pPr>
              <w:rPr>
                <w:b/>
                <w:bCs/>
              </w:rPr>
            </w:pPr>
            <w:r w:rsidRPr="00C00C53">
              <w:rPr>
                <w:b/>
                <w:bCs/>
              </w:rPr>
              <w:t xml:space="preserve">Impact Factor: </w:t>
            </w:r>
            <w:r w:rsidR="004C35E7">
              <w:rPr>
                <w:b/>
                <w:bCs/>
              </w:rPr>
              <w:t>5.633</w:t>
            </w:r>
          </w:p>
          <w:p w14:paraId="52ABAFE8" w14:textId="77777777" w:rsidR="008C57E4" w:rsidRDefault="008C57E4" w:rsidP="008C57E4">
            <w:pPr>
              <w:ind w:right="-73"/>
              <w:rPr>
                <w:sz w:val="6"/>
                <w:szCs w:val="6"/>
              </w:rPr>
            </w:pPr>
          </w:p>
          <w:p w14:paraId="1F884607" w14:textId="77777777" w:rsidR="008C57E4" w:rsidRPr="006475F9" w:rsidRDefault="00AD1806" w:rsidP="008C57E4">
            <w:pPr>
              <w:ind w:right="-73"/>
              <w:rPr>
                <w:rStyle w:val="Hyperlink"/>
              </w:rPr>
            </w:pPr>
            <w:hyperlink r:id="rId14" w:history="1">
              <w:r w:rsidR="008C57E4"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w:t>
            </w:r>
            <w:proofErr w:type="spellStart"/>
            <w:r w:rsidRPr="006475F9">
              <w:rPr>
                <w:rFonts w:ascii="Calibri" w:eastAsiaTheme="minorHAnsi" w:hAnsi="Calibri"/>
                <w:color w:val="948A54"/>
                <w:sz w:val="22"/>
                <w:szCs w:val="22"/>
              </w:rPr>
              <w:t>MultiMedia</w:t>
            </w:r>
            <w:proofErr w:type="spellEnd"/>
            <w:r w:rsidRPr="006475F9">
              <w:rPr>
                <w:rFonts w:ascii="Calibri" w:eastAsiaTheme="minorHAnsi" w:hAnsi="Calibri"/>
                <w:color w:val="948A54"/>
                <w:sz w:val="22"/>
                <w:szCs w:val="22"/>
              </w:rPr>
              <w:t xml:space="preserve">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 xml:space="preserve">Articles submitted to IEEE </w:t>
            </w:r>
            <w:proofErr w:type="spellStart"/>
            <w:r w:rsidRPr="006475F9">
              <w:rPr>
                <w:rFonts w:ascii="Calibri" w:hAnsi="Calibri"/>
                <w:color w:val="948A54"/>
                <w:sz w:val="22"/>
                <w:szCs w:val="22"/>
              </w:rPr>
              <w:t>MultiMedia</w:t>
            </w:r>
            <w:proofErr w:type="spellEnd"/>
            <w:r w:rsidRPr="006475F9">
              <w:rPr>
                <w:rFonts w:ascii="Calibri" w:hAnsi="Calibri"/>
                <w:color w:val="948A54"/>
                <w:sz w:val="22"/>
                <w:szCs w:val="22"/>
              </w:rPr>
              <w:t xml:space="preserve"> should not exceed 6,500 words, including all text, the abstract, keywords, bibliography, and biographies. Each table and figure </w:t>
            </w:r>
            <w:proofErr w:type="gramStart"/>
            <w:r w:rsidRPr="006475F9">
              <w:rPr>
                <w:rFonts w:ascii="Calibri" w:hAnsi="Calibri"/>
                <w:color w:val="948A54"/>
                <w:sz w:val="22"/>
                <w:szCs w:val="22"/>
              </w:rPr>
              <w:t>counts</w:t>
            </w:r>
            <w:proofErr w:type="gramEnd"/>
            <w:r w:rsidRPr="006475F9">
              <w:rPr>
                <w:rFonts w:ascii="Calibri" w:hAnsi="Calibri"/>
                <w:color w:val="948A54"/>
                <w:sz w:val="22"/>
                <w:szCs w:val="22"/>
              </w:rPr>
              <w:t xml:space="preserve"> for 200 words. Please limit the number of references to the 12 most relevant. For more information and instructions on presentation and formatting, please see our </w:t>
            </w:r>
            <w:hyperlink r:id="rId15" w:history="1">
              <w:r w:rsidRPr="006475F9">
                <w:rPr>
                  <w:rFonts w:ascii="Calibri" w:hAnsi="Calibri"/>
                  <w:color w:val="948A54"/>
                  <w:sz w:val="22"/>
                  <w:szCs w:val="22"/>
                </w:rPr>
                <w:t>author guidelines</w:t>
              </w:r>
            </w:hyperlink>
            <w:r w:rsidRPr="006475F9">
              <w:rPr>
                <w:rFonts w:ascii="Calibri" w:hAnsi="Calibri"/>
                <w:color w:val="948A54"/>
                <w:sz w:val="22"/>
                <w:szCs w:val="22"/>
              </w:rPr>
              <w:t xml:space="preserve"> (</w:t>
            </w:r>
            <w:hyperlink r:id="rId16" w:history="1">
              <w:r w:rsidRPr="006475F9">
                <w:rPr>
                  <w:rFonts w:ascii="Calibri" w:hAnsi="Calibri"/>
                  <w:color w:val="948A54"/>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7"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8"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77777777" w:rsidR="008C57E4" w:rsidRPr="006475F9" w:rsidRDefault="008C57E4" w:rsidP="008C57E4">
            <w:pPr>
              <w:autoSpaceDE w:val="0"/>
              <w:autoSpaceDN w:val="0"/>
              <w:adjustRightInd w:val="0"/>
              <w:rPr>
                <w:rFonts w:ascii="Calibri" w:hAnsi="Calibri"/>
                <w:color w:val="948A54"/>
                <w:sz w:val="22"/>
                <w:szCs w:val="22"/>
              </w:rPr>
            </w:pPr>
            <w:r w:rsidRPr="006475F9">
              <w:rPr>
                <w:rFonts w:ascii="Calibri" w:hAnsi="Calibri"/>
                <w:color w:val="948A54"/>
                <w:sz w:val="22"/>
                <w:szCs w:val="22"/>
              </w:rPr>
              <w:t>Shu-Ching Chen, Florida International University, USA</w:t>
            </w:r>
          </w:p>
          <w:p w14:paraId="3E7F50CC" w14:textId="77777777" w:rsidR="00046C2D" w:rsidRDefault="00AD1806" w:rsidP="000C2DBC">
            <w:pPr>
              <w:rPr>
                <w:rStyle w:val="Hyperlink"/>
                <w:rFonts w:ascii="Calibri" w:hAnsi="Calibri"/>
                <w:sz w:val="22"/>
                <w:szCs w:val="22"/>
              </w:rPr>
            </w:pPr>
            <w:hyperlink r:id="rId19" w:history="1">
              <w:r w:rsidR="008C57E4" w:rsidRPr="001F3A97">
                <w:rPr>
                  <w:rStyle w:val="Hyperlink"/>
                  <w:rFonts w:ascii="Calibri" w:hAnsi="Calibri"/>
                  <w:sz w:val="22"/>
                  <w:szCs w:val="22"/>
                </w:rPr>
                <w:t>chens@cs.fiu.edu</w:t>
              </w:r>
            </w:hyperlink>
          </w:p>
          <w:p w14:paraId="2D7158D8" w14:textId="77777777" w:rsidR="00084BFC" w:rsidRDefault="00084BFC" w:rsidP="000C2DBC">
            <w:pPr>
              <w:rPr>
                <w:rFonts w:ascii="Calibri" w:hAnsi="Calibri"/>
                <w:color w:val="0000FF"/>
                <w:sz w:val="22"/>
                <w:szCs w:val="22"/>
                <w:u w:val="single"/>
              </w:rPr>
            </w:pPr>
          </w:p>
          <w:p w14:paraId="7C11179E" w14:textId="00086109" w:rsidR="00084BFC" w:rsidRDefault="00084BFC" w:rsidP="00084BFC">
            <w:pPr>
              <w:ind w:right="-73"/>
              <w:rPr>
                <w:rFonts w:ascii="Calibri" w:hAnsi="Calibri"/>
                <w:color w:val="948A54"/>
                <w:sz w:val="22"/>
                <w:szCs w:val="22"/>
              </w:rPr>
            </w:pPr>
          </w:p>
          <w:p w14:paraId="3E400E35" w14:textId="354B8670" w:rsidR="00084BFC" w:rsidRPr="000C2DBC" w:rsidRDefault="00084BFC" w:rsidP="000C2DBC">
            <w:pPr>
              <w:rPr>
                <w:rFonts w:ascii="Calibri" w:hAnsi="Calibri"/>
                <w:color w:val="0000FF"/>
                <w:sz w:val="22"/>
                <w:szCs w:val="22"/>
                <w:u w:val="single"/>
              </w:rPr>
            </w:pPr>
          </w:p>
        </w:tc>
      </w:tr>
      <w:tr w:rsidR="00271110" w14:paraId="01D47B8F" w14:textId="77777777" w:rsidTr="003668CA">
        <w:trPr>
          <w:gridAfter w:val="1"/>
          <w:wAfter w:w="232" w:type="dxa"/>
          <w:trHeight w:val="450"/>
        </w:trPr>
        <w:tc>
          <w:tcPr>
            <w:tcW w:w="93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284560B" w14:textId="77777777" w:rsidR="00271110" w:rsidRDefault="00271110" w:rsidP="00271110">
            <w:pPr>
              <w:jc w:val="center"/>
              <w:rPr>
                <w:b/>
                <w:bCs/>
                <w:color w:val="000000"/>
                <w:sz w:val="28"/>
                <w:szCs w:val="28"/>
              </w:rPr>
            </w:pPr>
            <w:r w:rsidRPr="00396469">
              <w:rPr>
                <w:b/>
                <w:bCs/>
                <w:color w:val="000000"/>
                <w:sz w:val="28"/>
                <w:szCs w:val="28"/>
              </w:rPr>
              <w:lastRenderedPageBreak/>
              <w:t>2021 IEEE TCMC Call for Awards</w:t>
            </w:r>
          </w:p>
          <w:p w14:paraId="29077FE9" w14:textId="77777777" w:rsidR="006C2AF8" w:rsidRPr="00D05E88" w:rsidRDefault="006C2AF8" w:rsidP="006C2AF8">
            <w:pPr>
              <w:pStyle w:val="ListParagraph"/>
              <w:numPr>
                <w:ilvl w:val="0"/>
                <w:numId w:val="33"/>
              </w:numPr>
              <w:spacing w:after="160" w:line="259" w:lineRule="auto"/>
              <w:ind w:left="360"/>
              <w:jc w:val="both"/>
            </w:pPr>
            <w:r w:rsidRPr="00D05E88">
              <w:rPr>
                <w:b/>
                <w:noProof/>
              </w:rPr>
              <w:t>IEEE TCMC Rising Star Award</w:t>
            </w:r>
            <w:r w:rsidRPr="00D05E88">
              <w:rPr>
                <w:noProof/>
              </w:rPr>
              <w:t xml:space="preserve">: </w:t>
            </w:r>
            <w:r w:rsidRPr="00D05E88">
              <w:rPr>
                <w:color w:val="000000"/>
              </w:rPr>
              <w:t>This award is based on an individual's whole body of work in the first 5 years after the PhD. The award aims to promote current multimedia computing researchers as they create their career.</w:t>
            </w:r>
          </w:p>
          <w:p w14:paraId="1FC2D893" w14:textId="77777777" w:rsidR="006C2AF8" w:rsidRPr="00510658" w:rsidRDefault="006C2AF8" w:rsidP="006C2AF8">
            <w:pPr>
              <w:ind w:left="360"/>
              <w:jc w:val="both"/>
            </w:pPr>
            <w:r w:rsidRPr="00510658">
              <w:rPr>
                <w:b/>
                <w:bCs/>
                <w:color w:val="000000"/>
              </w:rPr>
              <w:t>Eligibility</w:t>
            </w:r>
            <w:r w:rsidRPr="00510658">
              <w:rPr>
                <w:color w:val="000000"/>
                <w:shd w:val="clear" w:color="auto" w:fill="F0EFEA"/>
              </w:rPr>
              <w:t xml:space="preserve"> </w:t>
            </w:r>
          </w:p>
          <w:p w14:paraId="10FB4B75" w14:textId="0301FA1E" w:rsidR="006C2AF8" w:rsidRDefault="006C2AF8" w:rsidP="006C2AF8">
            <w:pPr>
              <w:ind w:left="360"/>
              <w:jc w:val="both"/>
              <w:rPr>
                <w:color w:val="000000"/>
              </w:rPr>
            </w:pPr>
            <w:r w:rsidRPr="00510658">
              <w:rPr>
                <w:color w:val="000000"/>
              </w:rPr>
              <w:lastRenderedPageBreak/>
              <w:t>The candidate should have completed all the requirements for the PhD no earlier than 5 years before December 31 of the previous calendar year</w:t>
            </w:r>
            <w:r>
              <w:rPr>
                <w:color w:val="000000"/>
              </w:rPr>
              <w:t>,</w:t>
            </w:r>
            <w:r w:rsidRPr="00510658">
              <w:rPr>
                <w:color w:val="000000"/>
              </w:rPr>
              <w:t xml:space="preserve"> i.e.</w:t>
            </w:r>
            <w:r>
              <w:rPr>
                <w:color w:val="000000"/>
              </w:rPr>
              <w:t>,</w:t>
            </w:r>
            <w:r w:rsidRPr="00510658">
              <w:rPr>
                <w:color w:val="000000"/>
              </w:rPr>
              <w:t xml:space="preserve"> Dec</w:t>
            </w:r>
            <w:r>
              <w:rPr>
                <w:color w:val="000000"/>
              </w:rPr>
              <w:t>ember</w:t>
            </w:r>
            <w:r w:rsidRPr="00510658">
              <w:rPr>
                <w:color w:val="000000"/>
              </w:rPr>
              <w:t xml:space="preserve"> 31</w:t>
            </w:r>
            <w:r>
              <w:rPr>
                <w:color w:val="000000"/>
              </w:rPr>
              <w:t xml:space="preserve">, </w:t>
            </w:r>
            <w:proofErr w:type="gramStart"/>
            <w:r>
              <w:rPr>
                <w:color w:val="000000"/>
              </w:rPr>
              <w:t>2021</w:t>
            </w:r>
            <w:proofErr w:type="gramEnd"/>
            <w:r>
              <w:rPr>
                <w:color w:val="000000"/>
              </w:rPr>
              <w:t xml:space="preserve"> for the year 2022</w:t>
            </w:r>
            <w:r w:rsidRPr="00510658">
              <w:rPr>
                <w:color w:val="000000"/>
              </w:rPr>
              <w:t xml:space="preserve"> awards. </w:t>
            </w:r>
            <w:r>
              <w:rPr>
                <w:color w:val="000000"/>
              </w:rPr>
              <w:t>The candidate can be any IEEE TCMC member</w:t>
            </w:r>
            <w:r w:rsidRPr="00510658">
              <w:rPr>
                <w:color w:val="000000"/>
              </w:rPr>
              <w:t xml:space="preserve"> except the current officers of IEEE TCMC and members of the IEEE TCMC Awards Committee.</w:t>
            </w:r>
          </w:p>
          <w:p w14:paraId="7DE5136E" w14:textId="77777777" w:rsidR="006C2AF8" w:rsidRPr="00510658" w:rsidRDefault="006C2AF8" w:rsidP="006C2AF8">
            <w:pPr>
              <w:ind w:left="360"/>
              <w:jc w:val="both"/>
              <w:rPr>
                <w:color w:val="000000"/>
              </w:rPr>
            </w:pPr>
          </w:p>
          <w:p w14:paraId="138A88FF" w14:textId="77777777" w:rsidR="006C2AF8" w:rsidRPr="00510658" w:rsidRDefault="006C2AF8" w:rsidP="006C2AF8">
            <w:pPr>
              <w:ind w:left="360"/>
              <w:jc w:val="both"/>
            </w:pPr>
            <w:r w:rsidRPr="00510658">
              <w:rPr>
                <w:b/>
                <w:bCs/>
                <w:color w:val="000000"/>
              </w:rPr>
              <w:t>Nomination Process</w:t>
            </w:r>
            <w:r w:rsidRPr="00510658">
              <w:rPr>
                <w:color w:val="000000"/>
                <w:shd w:val="clear" w:color="auto" w:fill="F0EFEA"/>
              </w:rPr>
              <w:t xml:space="preserve"> </w:t>
            </w:r>
          </w:p>
          <w:p w14:paraId="44B648AC" w14:textId="77777777" w:rsidR="006C2AF8" w:rsidRPr="00510658" w:rsidRDefault="006C2AF8" w:rsidP="006C2AF8">
            <w:pPr>
              <w:ind w:left="360"/>
              <w:jc w:val="both"/>
              <w:rPr>
                <w:color w:val="000000"/>
              </w:rPr>
            </w:pPr>
            <w:r w:rsidRPr="00510658">
              <w:rPr>
                <w:color w:val="000000"/>
              </w:rPr>
              <w:t xml:space="preserve">Anyone in the field can nominate one person (self-nominations are excluded). Nominations should include a proposed citation (up to 25 words) and a detailed statement to justify the nomination (500 words or less). Three supporting letters should be submitted. The letters need to address the significance of the contributions cited in the nomination. </w:t>
            </w:r>
            <w:r>
              <w:rPr>
                <w:color w:val="000000"/>
              </w:rPr>
              <w:t xml:space="preserve">For the award year 2022, the nomination deadline will be 10 March 2022. </w:t>
            </w:r>
            <w:r w:rsidRPr="00510658">
              <w:rPr>
                <w:color w:val="000000"/>
              </w:rPr>
              <w:t xml:space="preserve">Please include a detailed CV for nominee in the nomination. Nominations that did not result in an award can be resubmitted or updated in subsequent years </w:t>
            </w:r>
            <w:proofErr w:type="gramStart"/>
            <w:r w:rsidRPr="00510658">
              <w:rPr>
                <w:color w:val="000000"/>
              </w:rPr>
              <w:t>as long as</w:t>
            </w:r>
            <w:proofErr w:type="gramEnd"/>
            <w:r w:rsidRPr="00510658">
              <w:rPr>
                <w:color w:val="000000"/>
              </w:rPr>
              <w:t xml:space="preserve"> the eligibility conditions for the award still hold. The Awards Committee will evaluate all nominations and decide on zero or more winners.</w:t>
            </w:r>
          </w:p>
          <w:p w14:paraId="200EC481" w14:textId="77777777" w:rsidR="006C2AF8" w:rsidRPr="00444FA1" w:rsidRDefault="006C2AF8" w:rsidP="006C2AF8">
            <w:pPr>
              <w:pStyle w:val="ListParagraph"/>
              <w:numPr>
                <w:ilvl w:val="0"/>
                <w:numId w:val="33"/>
              </w:numPr>
              <w:spacing w:after="160" w:line="259" w:lineRule="auto"/>
              <w:ind w:left="360"/>
              <w:jc w:val="both"/>
            </w:pPr>
            <w:r w:rsidRPr="00D05E88">
              <w:rPr>
                <w:b/>
              </w:rPr>
              <w:t>IEEE TCMC Mid-Term Career Award</w:t>
            </w:r>
            <w:r w:rsidRPr="00D05E88">
              <w:t xml:space="preserve">: </w:t>
            </w:r>
            <w:r w:rsidRPr="00D05E88">
              <w:rPr>
                <w:color w:val="000000"/>
              </w:rPr>
              <w:t>This award recognizes mid-career multimedia computing researchers who have made at least 5 to 15 years of outstanding contributions to the field in terms of one or more of the following: (1) Research (2) Industry Practice (3) Societal Impact.</w:t>
            </w:r>
          </w:p>
          <w:p w14:paraId="7195506B" w14:textId="77777777" w:rsidR="006C2AF8" w:rsidRDefault="006C2AF8" w:rsidP="006C2AF8">
            <w:pPr>
              <w:ind w:left="360"/>
              <w:jc w:val="both"/>
            </w:pPr>
            <w:r w:rsidRPr="00510658">
              <w:rPr>
                <w:b/>
                <w:bCs/>
                <w:color w:val="000000"/>
              </w:rPr>
              <w:t>Eligibility</w:t>
            </w:r>
            <w:r w:rsidRPr="00510658">
              <w:rPr>
                <w:color w:val="000000"/>
                <w:shd w:val="clear" w:color="auto" w:fill="F0EFEA"/>
              </w:rPr>
              <w:t xml:space="preserve"> </w:t>
            </w:r>
          </w:p>
          <w:p w14:paraId="083B049F" w14:textId="77777777" w:rsidR="006C2AF8" w:rsidRPr="008F2D9B" w:rsidRDefault="006C2AF8" w:rsidP="006C2AF8">
            <w:pPr>
              <w:ind w:left="360"/>
              <w:jc w:val="both"/>
            </w:pPr>
            <w:r>
              <w:rPr>
                <w:color w:val="000000"/>
              </w:rPr>
              <w:t>The candidate(s) can be any IEEE TCMC member</w:t>
            </w:r>
            <w:r w:rsidRPr="00510658">
              <w:rPr>
                <w:color w:val="000000"/>
              </w:rPr>
              <w:t xml:space="preserve"> except the current officers of IEEE TCMC and members of the IEEE TCMC Awards Committee.</w:t>
            </w:r>
          </w:p>
          <w:p w14:paraId="5B2D0307" w14:textId="77777777" w:rsidR="006C2AF8" w:rsidRPr="00510658" w:rsidRDefault="006C2AF8" w:rsidP="006C2AF8">
            <w:pPr>
              <w:ind w:left="360"/>
              <w:jc w:val="both"/>
            </w:pPr>
            <w:r w:rsidRPr="00510658">
              <w:rPr>
                <w:b/>
                <w:bCs/>
                <w:color w:val="000000"/>
              </w:rPr>
              <w:t>Nomination Process</w:t>
            </w:r>
            <w:r w:rsidRPr="00510658">
              <w:rPr>
                <w:color w:val="000000"/>
                <w:shd w:val="clear" w:color="auto" w:fill="F0EFEA"/>
              </w:rPr>
              <w:t xml:space="preserve"> </w:t>
            </w:r>
          </w:p>
          <w:p w14:paraId="68DA1761" w14:textId="66CE7AD1" w:rsidR="006C2AF8" w:rsidRPr="00510658" w:rsidRDefault="006C2AF8" w:rsidP="006C2AF8">
            <w:pPr>
              <w:ind w:left="360"/>
              <w:jc w:val="both"/>
              <w:rPr>
                <w:color w:val="000000"/>
              </w:rPr>
            </w:pPr>
            <w:r w:rsidRPr="00510658">
              <w:rPr>
                <w:color w:val="000000"/>
              </w:rPr>
              <w:t>Anyone in the field can put forward a nomination (self-nominations are excluded). Nominations should include a proposed citation (up to 25 words) and a detailed statement to justify the nomination (500 words or less). The nomination should explicitly indicate the specific nature of the contributions. Three supporting letters should be submitted. The letters need to address the significance of the contri</w:t>
            </w:r>
            <w:r>
              <w:rPr>
                <w:color w:val="000000"/>
              </w:rPr>
              <w:t>butions cited in the nomination</w:t>
            </w:r>
            <w:r w:rsidRPr="00510658">
              <w:rPr>
                <w:color w:val="000000"/>
              </w:rPr>
              <w:t xml:space="preserve">. </w:t>
            </w:r>
            <w:r w:rsidRPr="00E0691F">
              <w:rPr>
                <w:color w:val="000000"/>
              </w:rPr>
              <w:t xml:space="preserve">For the </w:t>
            </w:r>
            <w:r>
              <w:rPr>
                <w:color w:val="000000"/>
              </w:rPr>
              <w:t>award</w:t>
            </w:r>
            <w:r w:rsidRPr="00E0691F">
              <w:rPr>
                <w:color w:val="000000"/>
              </w:rPr>
              <w:t xml:space="preserve"> year</w:t>
            </w:r>
            <w:r>
              <w:rPr>
                <w:color w:val="000000"/>
              </w:rPr>
              <w:t xml:space="preserve"> 2022</w:t>
            </w:r>
            <w:r w:rsidRPr="00E0691F">
              <w:rPr>
                <w:color w:val="000000"/>
              </w:rPr>
              <w:t xml:space="preserve">, the </w:t>
            </w:r>
            <w:r>
              <w:rPr>
                <w:color w:val="000000"/>
              </w:rPr>
              <w:t xml:space="preserve">nomination </w:t>
            </w:r>
            <w:r w:rsidRPr="00E0691F">
              <w:rPr>
                <w:color w:val="000000"/>
              </w:rPr>
              <w:t xml:space="preserve">deadline will be </w:t>
            </w:r>
            <w:r>
              <w:rPr>
                <w:color w:val="000000"/>
              </w:rPr>
              <w:t xml:space="preserve">10 </w:t>
            </w:r>
            <w:r>
              <w:rPr>
                <w:color w:val="000000"/>
              </w:rPr>
              <w:t>April</w:t>
            </w:r>
            <w:r w:rsidRPr="00E0691F">
              <w:rPr>
                <w:color w:val="000000"/>
              </w:rPr>
              <w:t xml:space="preserve"> 20</w:t>
            </w:r>
            <w:r>
              <w:rPr>
                <w:color w:val="000000"/>
              </w:rPr>
              <w:t>22</w:t>
            </w:r>
            <w:r w:rsidRPr="00E0691F">
              <w:rPr>
                <w:color w:val="000000"/>
              </w:rPr>
              <w:t xml:space="preserve">. </w:t>
            </w:r>
            <w:r w:rsidRPr="00510658">
              <w:rPr>
                <w:color w:val="000000"/>
              </w:rPr>
              <w:t>Please include a detailed CV for the nominee in the nomination. Nominations that did not result in an award can be resubmitted or updated in subsequent years. The Awards Committee will evaluate all nominations and decide on zero or more winners.</w:t>
            </w:r>
          </w:p>
          <w:p w14:paraId="11BFDD67" w14:textId="77777777" w:rsidR="006C2AF8" w:rsidRPr="00D05E88" w:rsidRDefault="006C2AF8" w:rsidP="006C2AF8">
            <w:pPr>
              <w:pStyle w:val="ListParagraph"/>
              <w:numPr>
                <w:ilvl w:val="0"/>
                <w:numId w:val="33"/>
              </w:numPr>
              <w:spacing w:after="160" w:line="259" w:lineRule="auto"/>
              <w:ind w:left="360"/>
              <w:jc w:val="both"/>
            </w:pPr>
            <w:r w:rsidRPr="00D05E88">
              <w:rPr>
                <w:b/>
              </w:rPr>
              <w:t>IEEE TCMC Impact Award</w:t>
            </w:r>
            <w:r w:rsidRPr="00D05E88">
              <w:t xml:space="preserve">: </w:t>
            </w:r>
            <w:r w:rsidRPr="00D05E88">
              <w:rPr>
                <w:color w:val="000000"/>
              </w:rPr>
              <w:t>This award recognizes multimedia computing researchers who have made at least 15 years of outstanding contributions to the field in terms of one or more of the following: (1) Research (2) Industry Practice (3) Societal Impact.</w:t>
            </w:r>
          </w:p>
          <w:p w14:paraId="089D60E2" w14:textId="77777777" w:rsidR="006C2AF8" w:rsidRPr="00510658" w:rsidRDefault="006C2AF8" w:rsidP="006C2AF8">
            <w:pPr>
              <w:ind w:left="360"/>
              <w:jc w:val="both"/>
            </w:pPr>
            <w:r w:rsidRPr="00510658">
              <w:rPr>
                <w:b/>
                <w:bCs/>
                <w:color w:val="000000"/>
              </w:rPr>
              <w:t>Eligibility</w:t>
            </w:r>
            <w:r w:rsidRPr="00510658">
              <w:rPr>
                <w:color w:val="000000"/>
                <w:shd w:val="clear" w:color="auto" w:fill="F0EFEA"/>
              </w:rPr>
              <w:t xml:space="preserve"> </w:t>
            </w:r>
          </w:p>
          <w:p w14:paraId="189A74E0" w14:textId="77777777" w:rsidR="006C2AF8" w:rsidRPr="00510658" w:rsidRDefault="006C2AF8" w:rsidP="006C2AF8">
            <w:pPr>
              <w:ind w:left="360"/>
              <w:jc w:val="both"/>
              <w:rPr>
                <w:color w:val="000000"/>
              </w:rPr>
            </w:pPr>
            <w:r>
              <w:rPr>
                <w:color w:val="000000"/>
              </w:rPr>
              <w:t>The candidate(s) can be any IEEE TCMC member</w:t>
            </w:r>
            <w:r w:rsidRPr="00510658">
              <w:rPr>
                <w:color w:val="000000"/>
              </w:rPr>
              <w:t xml:space="preserve"> except the current officers of IEEE TCMC and members of the IEEE TCMC Awards Committee.</w:t>
            </w:r>
          </w:p>
          <w:p w14:paraId="788286BE" w14:textId="77777777" w:rsidR="006C2AF8" w:rsidRPr="00510658" w:rsidRDefault="006C2AF8" w:rsidP="006C2AF8">
            <w:pPr>
              <w:ind w:left="360"/>
              <w:jc w:val="both"/>
            </w:pPr>
            <w:r w:rsidRPr="00510658">
              <w:rPr>
                <w:b/>
                <w:bCs/>
                <w:color w:val="000000"/>
              </w:rPr>
              <w:t>Nomination Process</w:t>
            </w:r>
            <w:r w:rsidRPr="00510658">
              <w:rPr>
                <w:color w:val="000000"/>
                <w:shd w:val="clear" w:color="auto" w:fill="F0EFEA"/>
              </w:rPr>
              <w:t xml:space="preserve"> </w:t>
            </w:r>
          </w:p>
          <w:p w14:paraId="42783144" w14:textId="402A7420" w:rsidR="006C2AF8" w:rsidRPr="00510658" w:rsidRDefault="006C2AF8" w:rsidP="006C2AF8">
            <w:pPr>
              <w:ind w:left="360"/>
              <w:jc w:val="both"/>
              <w:rPr>
                <w:color w:val="000000"/>
              </w:rPr>
            </w:pPr>
            <w:r w:rsidRPr="00510658">
              <w:rPr>
                <w:color w:val="000000"/>
              </w:rPr>
              <w:t xml:space="preserve">Anyone in the field can put forward a nomination (self-nominations are excluded). Nominations should include a proposed citation (up to 25 words) and a detailed statement to justify the nomination (500 words or less). The nomination should explicitly indicate the specific nature of the contributions. Three supporting letters should be submitted. The letters need to address the significance of the contributions cited in the nomination. </w:t>
            </w:r>
            <w:r w:rsidRPr="00E0691F">
              <w:rPr>
                <w:color w:val="000000"/>
              </w:rPr>
              <w:t xml:space="preserve">For the </w:t>
            </w:r>
            <w:r>
              <w:rPr>
                <w:color w:val="000000"/>
              </w:rPr>
              <w:t>award</w:t>
            </w:r>
            <w:r w:rsidRPr="00E0691F">
              <w:rPr>
                <w:color w:val="000000"/>
              </w:rPr>
              <w:t xml:space="preserve"> year</w:t>
            </w:r>
            <w:r>
              <w:rPr>
                <w:color w:val="000000"/>
              </w:rPr>
              <w:t xml:space="preserve"> 2022</w:t>
            </w:r>
            <w:r w:rsidRPr="00E0691F">
              <w:rPr>
                <w:color w:val="000000"/>
              </w:rPr>
              <w:t xml:space="preserve">, the deadline will be </w:t>
            </w:r>
            <w:r>
              <w:rPr>
                <w:color w:val="000000"/>
              </w:rPr>
              <w:t xml:space="preserve">10 </w:t>
            </w:r>
            <w:r>
              <w:rPr>
                <w:color w:val="000000"/>
              </w:rPr>
              <w:t>April</w:t>
            </w:r>
            <w:r w:rsidRPr="00E0691F">
              <w:rPr>
                <w:color w:val="000000"/>
              </w:rPr>
              <w:t xml:space="preserve"> 20</w:t>
            </w:r>
            <w:r>
              <w:rPr>
                <w:color w:val="000000"/>
              </w:rPr>
              <w:t>22</w:t>
            </w:r>
            <w:r w:rsidRPr="00E0691F">
              <w:rPr>
                <w:color w:val="000000"/>
              </w:rPr>
              <w:t xml:space="preserve">. </w:t>
            </w:r>
            <w:r>
              <w:rPr>
                <w:color w:val="000000"/>
              </w:rPr>
              <w:t xml:space="preserve"> </w:t>
            </w:r>
            <w:r w:rsidRPr="00510658">
              <w:rPr>
                <w:color w:val="000000"/>
              </w:rPr>
              <w:t xml:space="preserve">Please include a detailed CV for the nominee in the nomination. Nominations that did not result in an award can be resubmitted or updated </w:t>
            </w:r>
            <w:r w:rsidRPr="00510658">
              <w:rPr>
                <w:color w:val="000000"/>
              </w:rPr>
              <w:lastRenderedPageBreak/>
              <w:t>in subsequent years. The Awards Committee will evaluate all nominations and decide on zero or more winners.</w:t>
            </w:r>
          </w:p>
          <w:p w14:paraId="1806DC7D" w14:textId="77777777" w:rsidR="006C2AF8" w:rsidRPr="0020165E" w:rsidRDefault="006C2AF8" w:rsidP="006C2AF8">
            <w:pPr>
              <w:pStyle w:val="ListParagraph"/>
              <w:numPr>
                <w:ilvl w:val="0"/>
                <w:numId w:val="33"/>
              </w:numPr>
              <w:spacing w:after="160" w:line="259" w:lineRule="auto"/>
              <w:ind w:left="360"/>
              <w:jc w:val="both"/>
            </w:pPr>
            <w:r w:rsidRPr="00D05E88">
              <w:rPr>
                <w:b/>
              </w:rPr>
              <w:t>IEEE TCMC Test of Time Award</w:t>
            </w:r>
            <w:r w:rsidRPr="00D05E88">
              <w:t xml:space="preserve">: </w:t>
            </w:r>
            <w:r w:rsidRPr="00D05E88">
              <w:rPr>
                <w:color w:val="000000"/>
              </w:rPr>
              <w:t>This award recognizes outstanding papers from the past, appearing in any TCMC forum (IEEE Multimedia Magazine, IEEE MIPR Conference</w:t>
            </w:r>
            <w:r>
              <w:rPr>
                <w:color w:val="000000"/>
              </w:rPr>
              <w:t>, etc.</w:t>
            </w:r>
            <w:r w:rsidRPr="00D05E88">
              <w:rPr>
                <w:color w:val="000000"/>
              </w:rPr>
              <w:t>) beyond the last decade that have had an important impact on the multimedia computing community in terms of citations or adoption in practice.</w:t>
            </w:r>
          </w:p>
          <w:p w14:paraId="5A4578A2" w14:textId="77777777" w:rsidR="006C2AF8" w:rsidRPr="00510658" w:rsidRDefault="006C2AF8" w:rsidP="006C2AF8">
            <w:pPr>
              <w:ind w:left="360"/>
              <w:jc w:val="both"/>
            </w:pPr>
            <w:r w:rsidRPr="00510658">
              <w:rPr>
                <w:b/>
                <w:bCs/>
                <w:color w:val="000000"/>
              </w:rPr>
              <w:t>Eligibility</w:t>
            </w:r>
            <w:r w:rsidRPr="00510658">
              <w:rPr>
                <w:color w:val="000000"/>
                <w:shd w:val="clear" w:color="auto" w:fill="F0EFEA"/>
              </w:rPr>
              <w:t xml:space="preserve"> </w:t>
            </w:r>
          </w:p>
          <w:p w14:paraId="3631B4CC" w14:textId="77777777" w:rsidR="006C2AF8" w:rsidRPr="008F2D9B" w:rsidRDefault="006C2AF8" w:rsidP="006C2AF8">
            <w:pPr>
              <w:ind w:left="360"/>
              <w:jc w:val="both"/>
              <w:rPr>
                <w:color w:val="000000"/>
              </w:rPr>
            </w:pPr>
            <w:r>
              <w:rPr>
                <w:color w:val="000000"/>
              </w:rPr>
              <w:t>The candidate(s) can be any IEEE TCMC member</w:t>
            </w:r>
            <w:r w:rsidRPr="00510658">
              <w:rPr>
                <w:color w:val="000000"/>
              </w:rPr>
              <w:t xml:space="preserve"> except the current officers of IEEE TCMC and members of the IEEE TCMC Awards Committee.</w:t>
            </w:r>
          </w:p>
          <w:p w14:paraId="2BF1B6B3" w14:textId="77777777" w:rsidR="006C2AF8" w:rsidRPr="00510658" w:rsidRDefault="006C2AF8" w:rsidP="006C2AF8">
            <w:pPr>
              <w:ind w:left="360"/>
              <w:jc w:val="both"/>
            </w:pPr>
            <w:r w:rsidRPr="00510658">
              <w:rPr>
                <w:b/>
                <w:bCs/>
                <w:color w:val="000000"/>
              </w:rPr>
              <w:t>Nomination Process</w:t>
            </w:r>
            <w:r w:rsidRPr="00510658">
              <w:rPr>
                <w:color w:val="000000"/>
                <w:shd w:val="clear" w:color="auto" w:fill="F0EFEA"/>
              </w:rPr>
              <w:t xml:space="preserve"> </w:t>
            </w:r>
          </w:p>
          <w:p w14:paraId="72FABA87" w14:textId="7DE9512F" w:rsidR="006C2AF8" w:rsidRPr="00510658" w:rsidRDefault="006C2AF8" w:rsidP="006C2AF8">
            <w:pPr>
              <w:ind w:left="360"/>
              <w:jc w:val="both"/>
              <w:rPr>
                <w:color w:val="000000"/>
              </w:rPr>
            </w:pPr>
            <w:r w:rsidRPr="00510658">
              <w:rPr>
                <w:color w:val="000000"/>
              </w:rPr>
              <w:t>Anyone in the field can put forward a nomination (self-nominations are excluded). Nominations should include a proposed citation (up to 25 words) and a detailed statement to justify the nomination (500 words or less). The nomination should explicitly indicate the specific nature of the contributions. Three supporting letters should be submitted. The letters need to address the significance of the contri</w:t>
            </w:r>
            <w:r>
              <w:rPr>
                <w:color w:val="000000"/>
              </w:rPr>
              <w:t>butions cited in the nomination</w:t>
            </w:r>
            <w:r w:rsidRPr="00510658">
              <w:rPr>
                <w:color w:val="000000"/>
              </w:rPr>
              <w:t xml:space="preserve">. </w:t>
            </w:r>
            <w:r w:rsidRPr="00E0691F">
              <w:rPr>
                <w:color w:val="000000"/>
              </w:rPr>
              <w:t xml:space="preserve">For the </w:t>
            </w:r>
            <w:r>
              <w:rPr>
                <w:color w:val="000000"/>
              </w:rPr>
              <w:t xml:space="preserve">award </w:t>
            </w:r>
            <w:r w:rsidRPr="00E0691F">
              <w:rPr>
                <w:color w:val="000000"/>
              </w:rPr>
              <w:t>year</w:t>
            </w:r>
            <w:r>
              <w:rPr>
                <w:color w:val="000000"/>
              </w:rPr>
              <w:t xml:space="preserve"> 2022</w:t>
            </w:r>
            <w:r w:rsidRPr="00E0691F">
              <w:rPr>
                <w:color w:val="000000"/>
              </w:rPr>
              <w:t xml:space="preserve">, the </w:t>
            </w:r>
            <w:r>
              <w:rPr>
                <w:color w:val="000000"/>
              </w:rPr>
              <w:t xml:space="preserve">nomination </w:t>
            </w:r>
            <w:r w:rsidRPr="00E0691F">
              <w:rPr>
                <w:color w:val="000000"/>
              </w:rPr>
              <w:t xml:space="preserve">deadline will be </w:t>
            </w:r>
            <w:r>
              <w:rPr>
                <w:color w:val="000000"/>
              </w:rPr>
              <w:t xml:space="preserve">10 </w:t>
            </w:r>
            <w:proofErr w:type="spellStart"/>
            <w:r>
              <w:rPr>
                <w:color w:val="000000"/>
              </w:rPr>
              <w:t>April</w:t>
            </w:r>
            <w:r w:rsidRPr="00E0691F">
              <w:rPr>
                <w:color w:val="000000"/>
              </w:rPr>
              <w:t xml:space="preserve"> 20</w:t>
            </w:r>
            <w:r>
              <w:rPr>
                <w:color w:val="000000"/>
              </w:rPr>
              <w:t>22</w:t>
            </w:r>
            <w:proofErr w:type="spellEnd"/>
            <w:r w:rsidRPr="00E0691F">
              <w:rPr>
                <w:color w:val="000000"/>
              </w:rPr>
              <w:t xml:space="preserve">. </w:t>
            </w:r>
            <w:r>
              <w:rPr>
                <w:color w:val="000000"/>
              </w:rPr>
              <w:t xml:space="preserve"> </w:t>
            </w:r>
            <w:r w:rsidRPr="00510658">
              <w:rPr>
                <w:color w:val="000000"/>
              </w:rPr>
              <w:t>Please include a detailed CV for the nominee in the nomination. Nominations that did not result in an award can be resubmitted or updated in subsequent years. The Awards Committee will evaluate all nominations and decide on zero or more winners.</w:t>
            </w:r>
          </w:p>
          <w:p w14:paraId="17D2D484" w14:textId="77777777" w:rsidR="006C2AF8" w:rsidRPr="00D05E88" w:rsidRDefault="006C2AF8" w:rsidP="006C2AF8">
            <w:pPr>
              <w:pStyle w:val="ListParagraph"/>
              <w:numPr>
                <w:ilvl w:val="0"/>
                <w:numId w:val="33"/>
              </w:numPr>
              <w:spacing w:after="160" w:line="259" w:lineRule="auto"/>
              <w:ind w:left="360"/>
              <w:jc w:val="both"/>
            </w:pPr>
            <w:r w:rsidRPr="00D05E88">
              <w:rPr>
                <w:b/>
              </w:rPr>
              <w:t>IEEE TCMC Service Award</w:t>
            </w:r>
            <w:r w:rsidRPr="00D05E88">
              <w:t>: T</w:t>
            </w:r>
            <w:r w:rsidRPr="00D05E88">
              <w:rPr>
                <w:color w:val="000000"/>
              </w:rPr>
              <w:t>his award recognizes an individual who has contributed significantly to TCMC, and the multimedia computing community in general.</w:t>
            </w:r>
          </w:p>
          <w:p w14:paraId="0E2F8F04" w14:textId="77777777" w:rsidR="006C2AF8" w:rsidRPr="00510658" w:rsidRDefault="006C2AF8" w:rsidP="006C2AF8">
            <w:pPr>
              <w:ind w:left="360"/>
              <w:jc w:val="both"/>
            </w:pPr>
            <w:r w:rsidRPr="00510658">
              <w:rPr>
                <w:b/>
                <w:bCs/>
                <w:color w:val="000000"/>
              </w:rPr>
              <w:t>Eligibility</w:t>
            </w:r>
            <w:r w:rsidRPr="00510658">
              <w:rPr>
                <w:color w:val="000000"/>
                <w:shd w:val="clear" w:color="auto" w:fill="F0EFEA"/>
              </w:rPr>
              <w:t xml:space="preserve"> </w:t>
            </w:r>
          </w:p>
          <w:p w14:paraId="518E55BB" w14:textId="77777777" w:rsidR="006C2AF8" w:rsidRPr="00510658" w:rsidRDefault="006C2AF8" w:rsidP="006C2AF8">
            <w:pPr>
              <w:ind w:left="360"/>
              <w:jc w:val="both"/>
              <w:rPr>
                <w:color w:val="000000"/>
              </w:rPr>
            </w:pPr>
            <w:r>
              <w:rPr>
                <w:color w:val="000000"/>
              </w:rPr>
              <w:t>The candidate can be any IEEE TCMC member</w:t>
            </w:r>
            <w:r w:rsidRPr="00510658">
              <w:rPr>
                <w:color w:val="000000"/>
              </w:rPr>
              <w:t xml:space="preserve"> except the current officers of IEEE TCMC and members of the IEEE TCMC Awards Committee.</w:t>
            </w:r>
          </w:p>
          <w:p w14:paraId="5C7BD97F" w14:textId="77777777" w:rsidR="006C2AF8" w:rsidRPr="00510658" w:rsidRDefault="006C2AF8" w:rsidP="006C2AF8">
            <w:pPr>
              <w:ind w:left="360"/>
              <w:jc w:val="both"/>
            </w:pPr>
            <w:r w:rsidRPr="00510658">
              <w:rPr>
                <w:b/>
                <w:bCs/>
                <w:color w:val="000000"/>
              </w:rPr>
              <w:t>Nomination Process</w:t>
            </w:r>
            <w:r w:rsidRPr="00510658">
              <w:rPr>
                <w:color w:val="000000"/>
                <w:shd w:val="clear" w:color="auto" w:fill="F0EFEA"/>
              </w:rPr>
              <w:t xml:space="preserve"> </w:t>
            </w:r>
          </w:p>
          <w:p w14:paraId="1653D2ED" w14:textId="2B721545" w:rsidR="006C2AF8" w:rsidRPr="000E38B0" w:rsidRDefault="006C2AF8" w:rsidP="006C2AF8">
            <w:pPr>
              <w:ind w:left="360"/>
              <w:jc w:val="both"/>
              <w:rPr>
                <w:color w:val="000000"/>
              </w:rPr>
            </w:pPr>
            <w:r w:rsidRPr="00510658">
              <w:rPr>
                <w:color w:val="000000"/>
              </w:rPr>
              <w:t xml:space="preserve">Anyone in the field can put forward a nomination (self-nominations are excluded). Nominations should include a proposed citation (up to 25 words) and a detailed statement to justify the nomination (500 words or less). Three supporting letters should be submitted. The letters need to address the significance of the service contributions cited in the nomination. </w:t>
            </w:r>
            <w:r w:rsidRPr="00E0691F">
              <w:rPr>
                <w:color w:val="000000"/>
              </w:rPr>
              <w:t xml:space="preserve">For the </w:t>
            </w:r>
            <w:r>
              <w:rPr>
                <w:color w:val="000000"/>
              </w:rPr>
              <w:t>award</w:t>
            </w:r>
            <w:r w:rsidRPr="00E0691F">
              <w:rPr>
                <w:color w:val="000000"/>
              </w:rPr>
              <w:t xml:space="preserve"> year</w:t>
            </w:r>
            <w:r>
              <w:rPr>
                <w:color w:val="000000"/>
              </w:rPr>
              <w:t xml:space="preserve"> 2022</w:t>
            </w:r>
            <w:r w:rsidRPr="00E0691F">
              <w:rPr>
                <w:color w:val="000000"/>
              </w:rPr>
              <w:t xml:space="preserve">, the </w:t>
            </w:r>
            <w:r>
              <w:rPr>
                <w:color w:val="000000"/>
              </w:rPr>
              <w:t xml:space="preserve">nomination </w:t>
            </w:r>
            <w:r w:rsidRPr="00E0691F">
              <w:rPr>
                <w:color w:val="000000"/>
              </w:rPr>
              <w:t xml:space="preserve">deadline will be </w:t>
            </w:r>
            <w:r>
              <w:rPr>
                <w:color w:val="000000"/>
              </w:rPr>
              <w:t xml:space="preserve">10 </w:t>
            </w:r>
            <w:r>
              <w:rPr>
                <w:color w:val="000000"/>
              </w:rPr>
              <w:t>April</w:t>
            </w:r>
            <w:r w:rsidRPr="00E0691F">
              <w:rPr>
                <w:color w:val="000000"/>
              </w:rPr>
              <w:t xml:space="preserve"> 20</w:t>
            </w:r>
            <w:r>
              <w:rPr>
                <w:color w:val="000000"/>
              </w:rPr>
              <w:t>22</w:t>
            </w:r>
            <w:r w:rsidRPr="00E0691F">
              <w:rPr>
                <w:color w:val="000000"/>
              </w:rPr>
              <w:t xml:space="preserve">. </w:t>
            </w:r>
            <w:r w:rsidRPr="00510658">
              <w:rPr>
                <w:color w:val="000000"/>
              </w:rPr>
              <w:t>Please include a detailed CV for nominee in the nomination. Nominations that did not result in an award can be resubmitted or updated in subsequent years. The Awards Committee will evaluate all nominations and decide on zero or more winners.</w:t>
            </w:r>
          </w:p>
          <w:p w14:paraId="28CF9641" w14:textId="77777777" w:rsidR="006C2AF8" w:rsidRPr="0020165E" w:rsidRDefault="006C2AF8" w:rsidP="006C2AF8">
            <w:pPr>
              <w:jc w:val="both"/>
              <w:rPr>
                <w:b/>
                <w:u w:val="single"/>
              </w:rPr>
            </w:pPr>
            <w:r>
              <w:rPr>
                <w:b/>
                <w:u w:val="single"/>
              </w:rPr>
              <w:t>Nomination Submission</w:t>
            </w:r>
          </w:p>
          <w:p w14:paraId="579B7496" w14:textId="26A48F9F" w:rsidR="00271110" w:rsidRPr="00744C7F" w:rsidRDefault="006C2AF8" w:rsidP="006C2AF8">
            <w:pPr>
              <w:ind w:left="360"/>
              <w:jc w:val="both"/>
              <w:rPr>
                <w:rFonts w:ascii="Arial" w:hAnsi="Arial" w:cs="Arial"/>
                <w:sz w:val="27"/>
                <w:szCs w:val="27"/>
              </w:rPr>
            </w:pPr>
            <w:r w:rsidRPr="006C2AF8">
              <w:rPr>
                <w:color w:val="000000"/>
              </w:rPr>
              <w:t>Please</w:t>
            </w:r>
            <w:r>
              <w:t xml:space="preserve"> submit the nomination package to the TCMC Chair, Dr. </w:t>
            </w:r>
            <w:proofErr w:type="spellStart"/>
            <w:r>
              <w:t>Chengcui</w:t>
            </w:r>
            <w:proofErr w:type="spellEnd"/>
            <w:r>
              <w:t xml:space="preserve"> Zhang, at </w:t>
            </w:r>
            <w:hyperlink r:id="rId20" w:history="1">
              <w:r w:rsidRPr="003663D2">
                <w:rPr>
                  <w:rStyle w:val="Hyperlink"/>
                </w:rPr>
                <w:t>czhang02@uab.edu</w:t>
              </w:r>
            </w:hyperlink>
            <w:r>
              <w:t xml:space="preserve"> by 10 </w:t>
            </w:r>
            <w:r>
              <w:t>April</w:t>
            </w:r>
            <w:r>
              <w:t xml:space="preserve"> 2022 with the email subject “TCMC Award: the award you are nominating (nominee name)”.</w:t>
            </w: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77777777" w:rsidR="0028193F" w:rsidRDefault="0028193F">
            <w:pPr>
              <w:spacing w:after="280"/>
              <w:rPr>
                <w:b/>
                <w:bCs/>
                <w:sz w:val="28"/>
                <w:szCs w:val="28"/>
              </w:rPr>
            </w:pPr>
            <w:r>
              <w:rPr>
                <w:rStyle w:val="Strong"/>
              </w:rPr>
              <w:t>Chair</w:t>
            </w:r>
            <w:r>
              <w:br/>
            </w:r>
            <w:r>
              <w:rPr>
                <w:rStyle w:val="Strong"/>
              </w:rPr>
              <w:t xml:space="preserve">Dr. </w:t>
            </w:r>
            <w:r w:rsidR="00A33C82">
              <w:rPr>
                <w:rStyle w:val="Strong"/>
              </w:rPr>
              <w:t>Chengcui Zhang</w:t>
            </w:r>
            <w:r>
              <w:rPr>
                <w:rStyle w:val="Strong"/>
              </w:rPr>
              <w:t> </w:t>
            </w:r>
            <w:r>
              <w:br/>
            </w:r>
            <w:r w:rsidR="00A33C82" w:rsidRPr="00A33C82">
              <w:t>University of Alabama at Birmingham</w:t>
            </w:r>
          </w:p>
        </w:tc>
        <w:tc>
          <w:tcPr>
            <w:tcW w:w="4500" w:type="dxa"/>
            <w:gridSpan w:val="2"/>
            <w:shd w:val="clear" w:color="auto" w:fill="F2F2F2"/>
            <w:tcMar>
              <w:top w:w="0" w:type="dxa"/>
              <w:left w:w="108" w:type="dxa"/>
              <w:bottom w:w="0" w:type="dxa"/>
              <w:right w:w="108" w:type="dxa"/>
            </w:tcMar>
            <w:hideMark/>
          </w:tcPr>
          <w:p w14:paraId="6489AA1A" w14:textId="77777777" w:rsidR="0028193F" w:rsidRDefault="0028193F">
            <w:pPr>
              <w:rPr>
                <w:b/>
                <w:bCs/>
                <w:sz w:val="28"/>
                <w:szCs w:val="28"/>
              </w:rPr>
            </w:pPr>
            <w:r>
              <w:rPr>
                <w:rStyle w:val="Strong"/>
              </w:rPr>
              <w:t>Secretary and Newsletter Editor</w:t>
            </w:r>
            <w:r>
              <w:br/>
            </w:r>
            <w:r>
              <w:rPr>
                <w:rStyle w:val="Strong"/>
              </w:rPr>
              <w:t>Dr. Min Chen </w:t>
            </w:r>
            <w:r>
              <w:br/>
              <w:t>University of Washington Bothell</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sectPr w:rsidR="00CA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44B5A"/>
    <w:multiLevelType w:val="hybridMultilevel"/>
    <w:tmpl w:val="2C005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26"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9"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3"/>
  </w:num>
  <w:num w:numId="3">
    <w:abstractNumId w:val="27"/>
  </w:num>
  <w:num w:numId="4">
    <w:abstractNumId w:val="0"/>
  </w:num>
  <w:num w:numId="5">
    <w:abstractNumId w:val="15"/>
  </w:num>
  <w:num w:numId="6">
    <w:abstractNumId w:val="22"/>
  </w:num>
  <w:num w:numId="7">
    <w:abstractNumId w:val="26"/>
  </w:num>
  <w:num w:numId="8">
    <w:abstractNumId w:val="2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7"/>
  </w:num>
  <w:num w:numId="14">
    <w:abstractNumId w:val="11"/>
  </w:num>
  <w:num w:numId="15">
    <w:abstractNumId w:val="1"/>
  </w:num>
  <w:num w:numId="16">
    <w:abstractNumId w:val="25"/>
  </w:num>
  <w:num w:numId="17">
    <w:abstractNumId w:val="14"/>
  </w:num>
  <w:num w:numId="18">
    <w:abstractNumId w:val="12"/>
  </w:num>
  <w:num w:numId="19">
    <w:abstractNumId w:val="16"/>
  </w:num>
  <w:num w:numId="20">
    <w:abstractNumId w:val="20"/>
  </w:num>
  <w:num w:numId="21">
    <w:abstractNumId w:val="10"/>
  </w:num>
  <w:num w:numId="22">
    <w:abstractNumId w:val="24"/>
  </w:num>
  <w:num w:numId="23">
    <w:abstractNumId w:val="29"/>
  </w:num>
  <w:num w:numId="24">
    <w:abstractNumId w:val="9"/>
  </w:num>
  <w:num w:numId="25">
    <w:abstractNumId w:val="5"/>
  </w:num>
  <w:num w:numId="26">
    <w:abstractNumId w:val="21"/>
  </w:num>
  <w:num w:numId="27">
    <w:abstractNumId w:val="4"/>
  </w:num>
  <w:num w:numId="28">
    <w:abstractNumId w:val="30"/>
  </w:num>
  <w:num w:numId="29">
    <w:abstractNumId w:val="8"/>
  </w:num>
  <w:num w:numId="30">
    <w:abstractNumId w:val="6"/>
  </w:num>
  <w:num w:numId="31">
    <w:abstractNumId w:val="13"/>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303C6"/>
    <w:rsid w:val="0003683F"/>
    <w:rsid w:val="00044852"/>
    <w:rsid w:val="00046C2D"/>
    <w:rsid w:val="00054E16"/>
    <w:rsid w:val="0005523E"/>
    <w:rsid w:val="00072AF1"/>
    <w:rsid w:val="00072ED6"/>
    <w:rsid w:val="000756D8"/>
    <w:rsid w:val="00081E6E"/>
    <w:rsid w:val="00084BFC"/>
    <w:rsid w:val="000942D2"/>
    <w:rsid w:val="000950C0"/>
    <w:rsid w:val="000B5567"/>
    <w:rsid w:val="000B7AE5"/>
    <w:rsid w:val="000C2DBC"/>
    <w:rsid w:val="000C7D10"/>
    <w:rsid w:val="000D6C63"/>
    <w:rsid w:val="000E77AB"/>
    <w:rsid w:val="000F2BD1"/>
    <w:rsid w:val="000F5C29"/>
    <w:rsid w:val="00100208"/>
    <w:rsid w:val="00100713"/>
    <w:rsid w:val="00110229"/>
    <w:rsid w:val="00114CB4"/>
    <w:rsid w:val="0013122C"/>
    <w:rsid w:val="00135912"/>
    <w:rsid w:val="00143665"/>
    <w:rsid w:val="001438C9"/>
    <w:rsid w:val="00152019"/>
    <w:rsid w:val="00176985"/>
    <w:rsid w:val="00181920"/>
    <w:rsid w:val="00193DD4"/>
    <w:rsid w:val="001A6063"/>
    <w:rsid w:val="001B3472"/>
    <w:rsid w:val="001C07CE"/>
    <w:rsid w:val="001C090E"/>
    <w:rsid w:val="001C50CD"/>
    <w:rsid w:val="001C7F24"/>
    <w:rsid w:val="001E09B6"/>
    <w:rsid w:val="001E3489"/>
    <w:rsid w:val="001E7169"/>
    <w:rsid w:val="001F0AB5"/>
    <w:rsid w:val="00203153"/>
    <w:rsid w:val="0021108D"/>
    <w:rsid w:val="00212160"/>
    <w:rsid w:val="00241924"/>
    <w:rsid w:val="00242DFF"/>
    <w:rsid w:val="00251584"/>
    <w:rsid w:val="00264E74"/>
    <w:rsid w:val="00267A7C"/>
    <w:rsid w:val="00271110"/>
    <w:rsid w:val="00280178"/>
    <w:rsid w:val="0028193F"/>
    <w:rsid w:val="002A0AF1"/>
    <w:rsid w:val="002A0D3E"/>
    <w:rsid w:val="002A3521"/>
    <w:rsid w:val="002B2D0A"/>
    <w:rsid w:val="002D3FE0"/>
    <w:rsid w:val="002D692C"/>
    <w:rsid w:val="002E2A1F"/>
    <w:rsid w:val="002E688C"/>
    <w:rsid w:val="003033CF"/>
    <w:rsid w:val="00306C62"/>
    <w:rsid w:val="003211F4"/>
    <w:rsid w:val="0033559D"/>
    <w:rsid w:val="003444DD"/>
    <w:rsid w:val="00344859"/>
    <w:rsid w:val="00371846"/>
    <w:rsid w:val="00380EB2"/>
    <w:rsid w:val="00395F3B"/>
    <w:rsid w:val="00396469"/>
    <w:rsid w:val="0039768D"/>
    <w:rsid w:val="003B4FC5"/>
    <w:rsid w:val="003B6BAE"/>
    <w:rsid w:val="003B7E02"/>
    <w:rsid w:val="00402E49"/>
    <w:rsid w:val="004035C5"/>
    <w:rsid w:val="00405CF2"/>
    <w:rsid w:val="00410FEA"/>
    <w:rsid w:val="0041376C"/>
    <w:rsid w:val="0042184C"/>
    <w:rsid w:val="00422A75"/>
    <w:rsid w:val="00446BC5"/>
    <w:rsid w:val="0045733D"/>
    <w:rsid w:val="00461AA6"/>
    <w:rsid w:val="00461BF4"/>
    <w:rsid w:val="00465CFC"/>
    <w:rsid w:val="004A6700"/>
    <w:rsid w:val="004B2D06"/>
    <w:rsid w:val="004C1C3C"/>
    <w:rsid w:val="004C35E7"/>
    <w:rsid w:val="004C7BC5"/>
    <w:rsid w:val="004D315C"/>
    <w:rsid w:val="004D36A2"/>
    <w:rsid w:val="004E4001"/>
    <w:rsid w:val="004F187C"/>
    <w:rsid w:val="005007C6"/>
    <w:rsid w:val="005562EA"/>
    <w:rsid w:val="00570404"/>
    <w:rsid w:val="00571391"/>
    <w:rsid w:val="0057423C"/>
    <w:rsid w:val="00580453"/>
    <w:rsid w:val="005873A2"/>
    <w:rsid w:val="00591FA3"/>
    <w:rsid w:val="00596E82"/>
    <w:rsid w:val="00597098"/>
    <w:rsid w:val="005B4969"/>
    <w:rsid w:val="005B6767"/>
    <w:rsid w:val="005C3573"/>
    <w:rsid w:val="005C5285"/>
    <w:rsid w:val="005D3A8C"/>
    <w:rsid w:val="005E083D"/>
    <w:rsid w:val="005E56DA"/>
    <w:rsid w:val="005F2693"/>
    <w:rsid w:val="00603CC3"/>
    <w:rsid w:val="00620B8F"/>
    <w:rsid w:val="0062706F"/>
    <w:rsid w:val="00627210"/>
    <w:rsid w:val="00630ECC"/>
    <w:rsid w:val="00636BE4"/>
    <w:rsid w:val="00641A6F"/>
    <w:rsid w:val="006475F9"/>
    <w:rsid w:val="00653D50"/>
    <w:rsid w:val="0065570B"/>
    <w:rsid w:val="00661EC2"/>
    <w:rsid w:val="00665F41"/>
    <w:rsid w:val="006838B4"/>
    <w:rsid w:val="00692202"/>
    <w:rsid w:val="00693467"/>
    <w:rsid w:val="006B009C"/>
    <w:rsid w:val="006B717E"/>
    <w:rsid w:val="006C033B"/>
    <w:rsid w:val="006C2AF8"/>
    <w:rsid w:val="006D1A5E"/>
    <w:rsid w:val="006E3BFD"/>
    <w:rsid w:val="006E5901"/>
    <w:rsid w:val="006F3ECE"/>
    <w:rsid w:val="007211AD"/>
    <w:rsid w:val="00730433"/>
    <w:rsid w:val="00732D1B"/>
    <w:rsid w:val="007366B7"/>
    <w:rsid w:val="0073720D"/>
    <w:rsid w:val="007403A0"/>
    <w:rsid w:val="00740957"/>
    <w:rsid w:val="00744C7F"/>
    <w:rsid w:val="00750D97"/>
    <w:rsid w:val="00753AFF"/>
    <w:rsid w:val="00761C1A"/>
    <w:rsid w:val="007739BF"/>
    <w:rsid w:val="007802D2"/>
    <w:rsid w:val="007A74E0"/>
    <w:rsid w:val="007B1742"/>
    <w:rsid w:val="007B27F7"/>
    <w:rsid w:val="007C5B4C"/>
    <w:rsid w:val="007C6FD2"/>
    <w:rsid w:val="007D0732"/>
    <w:rsid w:val="007D2530"/>
    <w:rsid w:val="007D2835"/>
    <w:rsid w:val="007D6110"/>
    <w:rsid w:val="007E5444"/>
    <w:rsid w:val="007E5D0C"/>
    <w:rsid w:val="007E6DC0"/>
    <w:rsid w:val="007F26F0"/>
    <w:rsid w:val="007F2C32"/>
    <w:rsid w:val="00804D15"/>
    <w:rsid w:val="0083230D"/>
    <w:rsid w:val="00835C30"/>
    <w:rsid w:val="0084190D"/>
    <w:rsid w:val="00842E34"/>
    <w:rsid w:val="008472BB"/>
    <w:rsid w:val="008574E8"/>
    <w:rsid w:val="008613C5"/>
    <w:rsid w:val="00864E97"/>
    <w:rsid w:val="008749BF"/>
    <w:rsid w:val="008A0B83"/>
    <w:rsid w:val="008A2AC0"/>
    <w:rsid w:val="008A2CF4"/>
    <w:rsid w:val="008B2AB0"/>
    <w:rsid w:val="008C57E4"/>
    <w:rsid w:val="008F1021"/>
    <w:rsid w:val="008F7CAE"/>
    <w:rsid w:val="009050DD"/>
    <w:rsid w:val="00910F30"/>
    <w:rsid w:val="009115A3"/>
    <w:rsid w:val="00945D91"/>
    <w:rsid w:val="0094799B"/>
    <w:rsid w:val="009573D1"/>
    <w:rsid w:val="00966FAA"/>
    <w:rsid w:val="00966FB9"/>
    <w:rsid w:val="00971DB3"/>
    <w:rsid w:val="009748EB"/>
    <w:rsid w:val="009837F3"/>
    <w:rsid w:val="009852BD"/>
    <w:rsid w:val="00991365"/>
    <w:rsid w:val="00992838"/>
    <w:rsid w:val="00992AFF"/>
    <w:rsid w:val="009A20FB"/>
    <w:rsid w:val="009A6E5B"/>
    <w:rsid w:val="009A7F86"/>
    <w:rsid w:val="009C17B2"/>
    <w:rsid w:val="009D7A30"/>
    <w:rsid w:val="009E433F"/>
    <w:rsid w:val="00A02BC6"/>
    <w:rsid w:val="00A02FE9"/>
    <w:rsid w:val="00A06290"/>
    <w:rsid w:val="00A11960"/>
    <w:rsid w:val="00A23A27"/>
    <w:rsid w:val="00A33C82"/>
    <w:rsid w:val="00A40B13"/>
    <w:rsid w:val="00A60B70"/>
    <w:rsid w:val="00A73B20"/>
    <w:rsid w:val="00A74836"/>
    <w:rsid w:val="00A7509B"/>
    <w:rsid w:val="00A76606"/>
    <w:rsid w:val="00A9102C"/>
    <w:rsid w:val="00AB4268"/>
    <w:rsid w:val="00AB46EF"/>
    <w:rsid w:val="00AD1806"/>
    <w:rsid w:val="00AD183A"/>
    <w:rsid w:val="00AD18AF"/>
    <w:rsid w:val="00AD4815"/>
    <w:rsid w:val="00AD59DE"/>
    <w:rsid w:val="00AE1B40"/>
    <w:rsid w:val="00AE3147"/>
    <w:rsid w:val="00B00A3B"/>
    <w:rsid w:val="00B016E4"/>
    <w:rsid w:val="00B05657"/>
    <w:rsid w:val="00B107B8"/>
    <w:rsid w:val="00B15FE4"/>
    <w:rsid w:val="00B270B5"/>
    <w:rsid w:val="00B310DD"/>
    <w:rsid w:val="00B51634"/>
    <w:rsid w:val="00B5445E"/>
    <w:rsid w:val="00B57586"/>
    <w:rsid w:val="00B5776C"/>
    <w:rsid w:val="00B6670D"/>
    <w:rsid w:val="00B910D4"/>
    <w:rsid w:val="00BA0805"/>
    <w:rsid w:val="00BA43D8"/>
    <w:rsid w:val="00BB20D4"/>
    <w:rsid w:val="00BC0780"/>
    <w:rsid w:val="00BD6FE3"/>
    <w:rsid w:val="00BE29B1"/>
    <w:rsid w:val="00BE4CDC"/>
    <w:rsid w:val="00BF2E21"/>
    <w:rsid w:val="00C00C53"/>
    <w:rsid w:val="00C02809"/>
    <w:rsid w:val="00C0312F"/>
    <w:rsid w:val="00C16113"/>
    <w:rsid w:val="00C16FA5"/>
    <w:rsid w:val="00C332B8"/>
    <w:rsid w:val="00C434BE"/>
    <w:rsid w:val="00C5454E"/>
    <w:rsid w:val="00C6064F"/>
    <w:rsid w:val="00C610A8"/>
    <w:rsid w:val="00C62827"/>
    <w:rsid w:val="00C65249"/>
    <w:rsid w:val="00C70096"/>
    <w:rsid w:val="00C71BCA"/>
    <w:rsid w:val="00C75294"/>
    <w:rsid w:val="00C81D10"/>
    <w:rsid w:val="00C91C9D"/>
    <w:rsid w:val="00C9529D"/>
    <w:rsid w:val="00CA0AE7"/>
    <w:rsid w:val="00CA2E7C"/>
    <w:rsid w:val="00CB0080"/>
    <w:rsid w:val="00CB392F"/>
    <w:rsid w:val="00CC1B68"/>
    <w:rsid w:val="00CE0BBE"/>
    <w:rsid w:val="00CE3A63"/>
    <w:rsid w:val="00CE743D"/>
    <w:rsid w:val="00CF05C5"/>
    <w:rsid w:val="00CF4CA5"/>
    <w:rsid w:val="00CF58DD"/>
    <w:rsid w:val="00CF6F5C"/>
    <w:rsid w:val="00D0637F"/>
    <w:rsid w:val="00D10FDE"/>
    <w:rsid w:val="00D140DF"/>
    <w:rsid w:val="00D1582B"/>
    <w:rsid w:val="00D2189E"/>
    <w:rsid w:val="00D31D57"/>
    <w:rsid w:val="00D355CA"/>
    <w:rsid w:val="00D5340A"/>
    <w:rsid w:val="00D6021B"/>
    <w:rsid w:val="00D60DFC"/>
    <w:rsid w:val="00D6327D"/>
    <w:rsid w:val="00D73FB2"/>
    <w:rsid w:val="00D90805"/>
    <w:rsid w:val="00D93EF3"/>
    <w:rsid w:val="00DC0510"/>
    <w:rsid w:val="00DD6D65"/>
    <w:rsid w:val="00DE3CB7"/>
    <w:rsid w:val="00E00A7D"/>
    <w:rsid w:val="00E035D1"/>
    <w:rsid w:val="00E06488"/>
    <w:rsid w:val="00E32C55"/>
    <w:rsid w:val="00E660A1"/>
    <w:rsid w:val="00E91C81"/>
    <w:rsid w:val="00EA3A96"/>
    <w:rsid w:val="00EA5D6E"/>
    <w:rsid w:val="00EA645B"/>
    <w:rsid w:val="00EA69BA"/>
    <w:rsid w:val="00EB56B3"/>
    <w:rsid w:val="00EC03CE"/>
    <w:rsid w:val="00EC220F"/>
    <w:rsid w:val="00EC42D2"/>
    <w:rsid w:val="00EC501F"/>
    <w:rsid w:val="00EC5F89"/>
    <w:rsid w:val="00EC76D0"/>
    <w:rsid w:val="00EE2A4D"/>
    <w:rsid w:val="00EE4349"/>
    <w:rsid w:val="00EE6FB4"/>
    <w:rsid w:val="00EF3666"/>
    <w:rsid w:val="00EF5E06"/>
    <w:rsid w:val="00F00176"/>
    <w:rsid w:val="00F04306"/>
    <w:rsid w:val="00F112DF"/>
    <w:rsid w:val="00F3115E"/>
    <w:rsid w:val="00F33FE3"/>
    <w:rsid w:val="00F34685"/>
    <w:rsid w:val="00F466FB"/>
    <w:rsid w:val="00F473F5"/>
    <w:rsid w:val="00F53676"/>
    <w:rsid w:val="00F635A1"/>
    <w:rsid w:val="00F75365"/>
    <w:rsid w:val="00F80297"/>
    <w:rsid w:val="00F90E49"/>
    <w:rsid w:val="00F93973"/>
    <w:rsid w:val="00FA222B"/>
    <w:rsid w:val="00FA6F0B"/>
    <w:rsid w:val="00FA7437"/>
    <w:rsid w:val="00FA7808"/>
    <w:rsid w:val="00FB29D4"/>
    <w:rsid w:val="00FB5454"/>
    <w:rsid w:val="00FC3E12"/>
    <w:rsid w:val="00FC6B31"/>
    <w:rsid w:val="00FC6BE0"/>
    <w:rsid w:val="00FE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33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uiPriority w:val="99"/>
    <w:semiHidden/>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s.uc.edu/~niunn/IRI22"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hyperlink" Target="https://mc.manuscriptcentral.com/mm-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computer.org/communities/technical-committees/tcmc" TargetMode="Externa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www.computer.org/web/peer-review/magazines" TargetMode="External"/><Relationship Id="rId20" Type="http://schemas.openxmlformats.org/officeDocument/2006/relationships/hyperlink" Target="mailto:czhang02@uab.edu" TargetMode="External"/><Relationship Id="rId1" Type="http://schemas.openxmlformats.org/officeDocument/2006/relationships/customXml" Target="../customXml/item1.xml"/><Relationship Id="rId6" Type="http://schemas.openxmlformats.org/officeDocument/2006/relationships/hyperlink" Target="https://tc.computer.org/tcmc/" TargetMode="External"/><Relationship Id="rId11" Type="http://schemas.openxmlformats.org/officeDocument/2006/relationships/hyperlink" Target="https://www.computer.org/digital-library/magazines/co/cfp-biometrics-video-surveillance"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s://conf.researchr.org/home/vlhcc-2022" TargetMode="External"/><Relationship Id="rId19" Type="http://schemas.openxmlformats.org/officeDocument/2006/relationships/hyperlink" Target="mailto:chens@cs.fiu.edu" TargetMode="External"/><Relationship Id="rId4" Type="http://schemas.openxmlformats.org/officeDocument/2006/relationships/settings" Target="settings.xml"/><Relationship Id="rId9" Type="http://schemas.openxmlformats.org/officeDocument/2006/relationships/hyperlink" Target="https://easychair.org/conferences/?conf=iri2022" TargetMode="External"/><Relationship Id="rId14" Type="http://schemas.openxmlformats.org/officeDocument/2006/relationships/hyperlink" Target="https://publications.computer.org/multimedia-magaz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Chen</dc:creator>
  <cp:keywords/>
  <dc:description/>
  <cp:lastModifiedBy>Min Chen</cp:lastModifiedBy>
  <cp:revision>7</cp:revision>
  <dcterms:created xsi:type="dcterms:W3CDTF">2022-02-28T17:49:00Z</dcterms:created>
  <dcterms:modified xsi:type="dcterms:W3CDTF">2022-04-01T00:29:00Z</dcterms:modified>
</cp:coreProperties>
</file>