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C3A83" w:rsidTr="00CC3A83">
        <w:trPr>
          <w:trHeight w:val="375"/>
          <w:tblCellSpacing w:w="0" w:type="dxa"/>
          <w:jc w:val="center"/>
        </w:trPr>
        <w:tc>
          <w:tcPr>
            <w:tcW w:w="0" w:type="auto"/>
            <w:shd w:val="clear" w:color="auto" w:fill="43474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260"/>
              <w:gridCol w:w="4830"/>
              <w:gridCol w:w="270"/>
            </w:tblGrid>
            <w:tr w:rsidR="00CC3A83">
              <w:trPr>
                <w:tblCellSpacing w:w="0" w:type="dxa"/>
                <w:jc w:val="center"/>
              </w:trPr>
              <w:tc>
                <w:tcPr>
                  <w:tcW w:w="0" w:type="auto"/>
                  <w:vAlign w:val="center"/>
                  <w:hideMark/>
                </w:tcPr>
                <w:p w:rsidR="00CC3A83" w:rsidRDefault="00CC3A83">
                  <w:pPr>
                    <w:spacing w:after="0" w:line="240" w:lineRule="auto"/>
                    <w:rPr>
                      <w:sz w:val="24"/>
                      <w:szCs w:val="24"/>
                    </w:rPr>
                  </w:pPr>
                  <w:r>
                    <w:rPr>
                      <w:noProof/>
                    </w:rPr>
                    <w:drawing>
                      <wp:inline distT="0" distB="0" distL="0" distR="0">
                        <wp:extent cx="2705100" cy="561975"/>
                        <wp:effectExtent l="0" t="0" r="0" b="9525"/>
                        <wp:docPr id="6" name="Picture 6" descr="cid:image001.png@01D24A57.F024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A57.F02459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05100" cy="561975"/>
                                </a:xfrm>
                                <a:prstGeom prst="rect">
                                  <a:avLst/>
                                </a:prstGeom>
                                <a:noFill/>
                                <a:ln>
                                  <a:noFill/>
                                </a:ln>
                              </pic:spPr>
                            </pic:pic>
                          </a:graphicData>
                        </a:graphic>
                      </wp:inline>
                    </w:drawing>
                  </w:r>
                </w:p>
              </w:tc>
              <w:tc>
                <w:tcPr>
                  <w:tcW w:w="0" w:type="auto"/>
                  <w:hideMark/>
                </w:tcPr>
                <w:p w:rsidR="00CC3A83" w:rsidRDefault="00CC3A83">
                  <w:pPr>
                    <w:jc w:val="right"/>
                    <w:rPr>
                      <w:color w:val="FFFFFF"/>
                      <w:sz w:val="24"/>
                      <w:szCs w:val="24"/>
                    </w:rPr>
                  </w:pPr>
                  <w:hyperlink r:id="rId6" w:tgtFrame="_blank" w:history="1">
                    <w:r>
                      <w:rPr>
                        <w:rStyle w:val="Hyperlink"/>
                        <w:color w:val="FFFFFF"/>
                      </w:rPr>
                      <w:t>If you have trouble viewing this email, please click here</w:t>
                    </w:r>
                    <w:r>
                      <w:rPr>
                        <w:rStyle w:val="Hyperlink"/>
                        <w:color w:val="FFFFFF"/>
                        <w:sz w:val="20"/>
                        <w:szCs w:val="20"/>
                      </w:rPr>
                      <w:t>.</w:t>
                    </w:r>
                  </w:hyperlink>
                  <w:r>
                    <w:rPr>
                      <w:color w:val="FFFFFF"/>
                    </w:rPr>
                    <w:t xml:space="preserve"> </w:t>
                  </w:r>
                </w:p>
              </w:tc>
              <w:tc>
                <w:tcPr>
                  <w:tcW w:w="270" w:type="dxa"/>
                  <w:hideMark/>
                </w:tcPr>
                <w:p w:rsidR="00CC3A83" w:rsidRDefault="00CC3A83">
                  <w:pPr>
                    <w:jc w:val="right"/>
                    <w:rPr>
                      <w:color w:val="FFFFFF"/>
                      <w:sz w:val="24"/>
                      <w:szCs w:val="24"/>
                    </w:rPr>
                  </w:pPr>
                  <w:r>
                    <w:rPr>
                      <w:noProof/>
                    </w:rPr>
                    <w:drawing>
                      <wp:inline distT="0" distB="0" distL="0" distR="0">
                        <wp:extent cx="142875" cy="142875"/>
                        <wp:effectExtent l="0" t="0" r="0" b="0"/>
                        <wp:docPr id="5" name="Picture 5" descr="open in brows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in browser imag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CC3A83" w:rsidRDefault="00CC3A83">
            <w:pPr>
              <w:spacing w:after="0" w:line="240" w:lineRule="auto"/>
              <w:jc w:val="center"/>
              <w:rPr>
                <w:rFonts w:ascii="Times New Roman" w:eastAsia="Times New Roman" w:hAnsi="Times New Roman"/>
                <w:sz w:val="20"/>
                <w:szCs w:val="20"/>
              </w:rPr>
            </w:pPr>
          </w:p>
        </w:tc>
      </w:tr>
      <w:tr w:rsidR="00CC3A83" w:rsidTr="00CC3A83">
        <w:trPr>
          <w:trHeight w:val="75"/>
          <w:tblCellSpacing w:w="0" w:type="dxa"/>
          <w:jc w:val="center"/>
        </w:trPr>
        <w:tc>
          <w:tcPr>
            <w:tcW w:w="0" w:type="auto"/>
            <w:shd w:val="clear" w:color="auto" w:fill="62A9D2"/>
            <w:vAlign w:val="center"/>
            <w:hideMark/>
          </w:tcPr>
          <w:p w:rsidR="00CC3A83" w:rsidRDefault="00CC3A83">
            <w:pPr>
              <w:spacing w:after="0" w:line="240" w:lineRule="auto"/>
              <w:rPr>
                <w:rFonts w:ascii="Times New Roman" w:eastAsia="Times New Roman" w:hAnsi="Times New Roman"/>
                <w:sz w:val="20"/>
                <w:szCs w:val="20"/>
              </w:rPr>
            </w:pPr>
          </w:p>
        </w:tc>
      </w:tr>
      <w:tr w:rsidR="00CC3A83" w:rsidTr="00CC3A83">
        <w:trPr>
          <w:trHeight w:val="600"/>
          <w:tblCellSpacing w:w="0" w:type="dxa"/>
          <w:jc w:val="center"/>
        </w:trPr>
        <w:tc>
          <w:tcPr>
            <w:tcW w:w="0" w:type="auto"/>
            <w:shd w:val="clear" w:color="auto" w:fill="FFFFFF"/>
            <w:vAlign w:val="center"/>
            <w:hideMark/>
          </w:tcPr>
          <w:p w:rsidR="00CC3A83" w:rsidRDefault="00CC3A83">
            <w:pPr>
              <w:spacing w:after="0" w:line="240" w:lineRule="auto"/>
              <w:rPr>
                <w:rFonts w:ascii="Times New Roman" w:eastAsia="Times New Roman" w:hAnsi="Times New Roman"/>
                <w:sz w:val="20"/>
                <w:szCs w:val="20"/>
              </w:rPr>
            </w:pPr>
          </w:p>
        </w:tc>
      </w:tr>
      <w:tr w:rsidR="00CC3A83" w:rsidTr="00CC3A83">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97"/>
              <w:gridCol w:w="8195"/>
              <w:gridCol w:w="568"/>
            </w:tblGrid>
            <w:tr w:rsidR="00CC3A83">
              <w:trPr>
                <w:tblCellSpacing w:w="0" w:type="dxa"/>
                <w:jc w:val="center"/>
              </w:trPr>
              <w:tc>
                <w:tcPr>
                  <w:tcW w:w="1007" w:type="dxa"/>
                  <w:shd w:val="clear" w:color="auto" w:fill="FFFFFF"/>
                  <w:vAlign w:val="center"/>
                  <w:hideMark/>
                </w:tcPr>
                <w:p w:rsidR="00CC3A83" w:rsidRDefault="00CC3A83">
                  <w:pPr>
                    <w:spacing w:after="0" w:line="240" w:lineRule="auto"/>
                    <w:rPr>
                      <w:rFonts w:ascii="Times New Roman" w:eastAsia="Times New Roman" w:hAnsi="Times New Roman"/>
                      <w:sz w:val="20"/>
                      <w:szCs w:val="20"/>
                    </w:rPr>
                  </w:pPr>
                </w:p>
              </w:tc>
              <w:tc>
                <w:tcPr>
                  <w:tcW w:w="13885" w:type="dxa"/>
                  <w:shd w:val="clear" w:color="auto" w:fill="FFFFFF"/>
                  <w:vAlign w:val="center"/>
                  <w:hideMark/>
                </w:tcPr>
                <w:p w:rsidR="00CC3A83" w:rsidRDefault="00CC3A83">
                  <w:pPr>
                    <w:spacing w:after="0" w:line="240" w:lineRule="auto"/>
                    <w:rPr>
                      <w:rFonts w:ascii="Times New Roman" w:eastAsia="Times New Roman" w:hAnsi="Times New Roman"/>
                      <w:sz w:val="20"/>
                      <w:szCs w:val="20"/>
                    </w:rPr>
                  </w:pPr>
                </w:p>
              </w:tc>
              <w:tc>
                <w:tcPr>
                  <w:tcW w:w="959" w:type="dxa"/>
                  <w:shd w:val="clear" w:color="auto" w:fill="FFFFFF"/>
                  <w:vAlign w:val="center"/>
                  <w:hideMark/>
                </w:tcPr>
                <w:p w:rsidR="00CC3A83" w:rsidRDefault="00CC3A83">
                  <w:pPr>
                    <w:spacing w:after="0" w:line="240" w:lineRule="auto"/>
                    <w:rPr>
                      <w:rFonts w:ascii="Times New Roman" w:eastAsia="Times New Roman" w:hAnsi="Times New Roman"/>
                      <w:sz w:val="20"/>
                      <w:szCs w:val="20"/>
                    </w:rPr>
                  </w:pPr>
                </w:p>
              </w:tc>
            </w:tr>
            <w:tr w:rsidR="00CC3A83">
              <w:trPr>
                <w:trHeight w:val="135"/>
                <w:tblCellSpacing w:w="0" w:type="dxa"/>
                <w:jc w:val="center"/>
              </w:trPr>
              <w:tc>
                <w:tcPr>
                  <w:tcW w:w="0" w:type="auto"/>
                  <w:gridSpan w:val="3"/>
                  <w:shd w:val="clear" w:color="auto" w:fill="FFFFFF"/>
                  <w:vAlign w:val="center"/>
                </w:tcPr>
                <w:p w:rsidR="00CC3A83" w:rsidRDefault="00CC3A83">
                  <w:pPr>
                    <w:rPr>
                      <w:sz w:val="14"/>
                      <w:szCs w:val="14"/>
                    </w:rPr>
                  </w:pPr>
                </w:p>
              </w:tc>
            </w:tr>
          </w:tbl>
          <w:p w:rsidR="00CC3A83" w:rsidRDefault="00CC3A83">
            <w:pPr>
              <w:spacing w:after="0" w:line="240" w:lineRule="auto"/>
              <w:jc w:val="center"/>
              <w:rPr>
                <w:rFonts w:ascii="Times New Roman" w:eastAsia="Times New Roman" w:hAnsi="Times New Roman"/>
                <w:sz w:val="20"/>
                <w:szCs w:val="20"/>
              </w:rPr>
            </w:pPr>
          </w:p>
        </w:tc>
      </w:tr>
      <w:tr w:rsidR="00CC3A83" w:rsidTr="00CC3A83">
        <w:trPr>
          <w:tblCellSpacing w:w="0" w:type="dxa"/>
          <w:jc w:val="center"/>
        </w:trPr>
        <w:tc>
          <w:tcPr>
            <w:tcW w:w="5000" w:type="pct"/>
            <w:vAlign w:val="center"/>
          </w:tcPr>
          <w:tbl>
            <w:tblPr>
              <w:tblW w:w="0" w:type="auto"/>
              <w:tblCellMar>
                <w:left w:w="0" w:type="dxa"/>
                <w:right w:w="0" w:type="dxa"/>
              </w:tblCellMar>
              <w:tblLook w:val="04A0" w:firstRow="1" w:lastRow="0" w:firstColumn="1" w:lastColumn="0" w:noHBand="0" w:noVBand="1"/>
            </w:tblPr>
            <w:tblGrid>
              <w:gridCol w:w="4455"/>
              <w:gridCol w:w="42"/>
              <w:gridCol w:w="4863"/>
            </w:tblGrid>
            <w:tr w:rsidR="00CC3A83">
              <w:trPr>
                <w:trHeight w:val="1772"/>
              </w:trPr>
              <w:tc>
                <w:tcPr>
                  <w:tcW w:w="1125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CC3A83" w:rsidRDefault="00CC3A83">
                  <w:pPr>
                    <w:pStyle w:val="Heading2"/>
                    <w:ind w:left="-142" w:right="-167"/>
                    <w:jc w:val="center"/>
                    <w:rPr>
                      <w:rFonts w:eastAsia="Times New Roman"/>
                      <w:color w:val="333333"/>
                      <w:sz w:val="32"/>
                      <w:szCs w:val="32"/>
                    </w:rPr>
                  </w:pPr>
                  <w:r>
                    <w:rPr>
                      <w:rFonts w:eastAsia="Times New Roman"/>
                      <w:color w:val="333333"/>
                      <w:sz w:val="32"/>
                      <w:szCs w:val="32"/>
                    </w:rPr>
                    <w:t>Technical Committee on Multimedia Computing (TCMC)</w:t>
                  </w:r>
                </w:p>
                <w:p w:rsidR="00CC3A83" w:rsidRDefault="00CC3A83">
                  <w:pPr>
                    <w:spacing w:after="120" w:line="240" w:lineRule="auto"/>
                    <w:jc w:val="center"/>
                    <w:rPr>
                      <w:color w:val="555555"/>
                      <w:sz w:val="28"/>
                      <w:szCs w:val="28"/>
                    </w:rPr>
                  </w:pPr>
                  <w:hyperlink r:id="rId9" w:history="1">
                    <w:r>
                      <w:rPr>
                        <w:rStyle w:val="Hyperlink"/>
                        <w:sz w:val="28"/>
                        <w:szCs w:val="28"/>
                      </w:rPr>
                      <w:t>https://www.computer.org/web/tcmc/index</w:t>
                    </w:r>
                  </w:hyperlink>
                </w:p>
                <w:p w:rsidR="00CC3A83" w:rsidRDefault="00CC3A83">
                  <w:pPr>
                    <w:spacing w:after="120" w:line="240" w:lineRule="auto"/>
                    <w:jc w:val="center"/>
                    <w:rPr>
                      <w:b/>
                      <w:bCs/>
                      <w:color w:val="000000"/>
                      <w:sz w:val="24"/>
                      <w:szCs w:val="24"/>
                    </w:rPr>
                  </w:pPr>
                  <w:r>
                    <w:rPr>
                      <w:b/>
                      <w:bCs/>
                      <w:color w:val="000000"/>
                      <w:sz w:val="28"/>
                      <w:szCs w:val="28"/>
                    </w:rPr>
                    <w:t>Welcome to the December 2</w:t>
                  </w:r>
                  <w:r>
                    <w:rPr>
                      <w:b/>
                      <w:bCs/>
                      <w:sz w:val="28"/>
                      <w:szCs w:val="28"/>
                    </w:rPr>
                    <w:t>016</w:t>
                  </w:r>
                  <w:r>
                    <w:rPr>
                      <w:b/>
                      <w:bCs/>
                      <w:color w:val="000000"/>
                      <w:sz w:val="28"/>
                      <w:szCs w:val="28"/>
                    </w:rPr>
                    <w:t xml:space="preserve"> edition of the IEEE-TCMC monthly newsletter</w:t>
                  </w:r>
                </w:p>
                <w:p w:rsidR="00CC3A83" w:rsidRDefault="00CC3A83">
                  <w:pPr>
                    <w:pStyle w:val="Heading2"/>
                    <w:ind w:left="-142" w:right="-167"/>
                    <w:jc w:val="center"/>
                    <w:rPr>
                      <w:rFonts w:ascii="Calibri" w:eastAsia="Times New Roman" w:hAnsi="Calibri"/>
                      <w:color w:val="000000"/>
                      <w:sz w:val="20"/>
                      <w:szCs w:val="20"/>
                    </w:rPr>
                  </w:pPr>
                </w:p>
                <w:p w:rsidR="00CC3A83" w:rsidRDefault="00CC3A83">
                  <w:pPr>
                    <w:pStyle w:val="Heading2"/>
                    <w:ind w:left="-142" w:right="-167"/>
                    <w:jc w:val="center"/>
                    <w:rPr>
                      <w:rFonts w:ascii="Calibri" w:eastAsia="Times New Roman" w:hAnsi="Calibri"/>
                      <w:b w:val="0"/>
                      <w:bCs w:val="0"/>
                      <w:color w:val="000000"/>
                      <w:sz w:val="24"/>
                      <w:szCs w:val="24"/>
                    </w:rPr>
                  </w:pPr>
                  <w:r>
                    <w:rPr>
                      <w:rFonts w:ascii="Calibri" w:eastAsia="Times New Roman" w:hAnsi="Calibri"/>
                      <w:color w:val="000000"/>
                      <w:sz w:val="24"/>
                      <w:szCs w:val="24"/>
                    </w:rPr>
                    <w:t>To join TCMC:</w:t>
                  </w:r>
                  <w:r>
                    <w:rPr>
                      <w:rFonts w:ascii="Calibri" w:eastAsia="Times New Roman" w:hAnsi="Calibri"/>
                      <w:b w:val="0"/>
                      <w:bCs w:val="0"/>
                      <w:color w:val="000000"/>
                      <w:sz w:val="24"/>
                      <w:szCs w:val="24"/>
                    </w:rPr>
                    <w:t xml:space="preserve"> </w:t>
                  </w:r>
                  <w:hyperlink r:id="rId10" w:history="1">
                    <w:r>
                      <w:rPr>
                        <w:rStyle w:val="Hyperlink"/>
                        <w:rFonts w:ascii="Calibri" w:eastAsia="Times New Roman" w:hAnsi="Calibri"/>
                        <w:b w:val="0"/>
                        <w:bCs w:val="0"/>
                        <w:sz w:val="24"/>
                        <w:szCs w:val="24"/>
                      </w:rPr>
                      <w:t>https://www.computer.org/web/tcmc/join-tcmc</w:t>
                    </w:r>
                  </w:hyperlink>
                </w:p>
                <w:p w:rsidR="00CC3A83" w:rsidRDefault="00CC3A83">
                  <w:pPr>
                    <w:spacing w:after="120" w:line="240" w:lineRule="auto"/>
                    <w:jc w:val="center"/>
                    <w:rPr>
                      <w:color w:val="000000"/>
                      <w:sz w:val="28"/>
                      <w:szCs w:val="28"/>
                    </w:rPr>
                  </w:pPr>
                </w:p>
              </w:tc>
            </w:tr>
            <w:tr w:rsidR="00CC3A83">
              <w:trPr>
                <w:trHeight w:val="1772"/>
              </w:trPr>
              <w:tc>
                <w:tcPr>
                  <w:tcW w:w="1125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CC3A83" w:rsidRDefault="00CC3A83">
                  <w:pPr>
                    <w:spacing w:after="120" w:line="240" w:lineRule="auto"/>
                    <w:rPr>
                      <w:color w:val="000000"/>
                      <w:sz w:val="28"/>
                      <w:szCs w:val="28"/>
                    </w:rPr>
                  </w:pPr>
                  <w:r>
                    <w:rPr>
                      <w:color w:val="000000"/>
                      <w:sz w:val="28"/>
                      <w:szCs w:val="28"/>
                    </w:rPr>
                    <w:t>This month's topics include:</w:t>
                  </w:r>
                </w:p>
                <w:p w:rsidR="00CC3A83" w:rsidRDefault="00CC3A83">
                  <w:pPr>
                    <w:spacing w:after="120" w:line="240" w:lineRule="auto"/>
                    <w:rPr>
                      <w:color w:val="000000"/>
                      <w:sz w:val="28"/>
                      <w:szCs w:val="28"/>
                    </w:rPr>
                  </w:pPr>
                  <w:r>
                    <w:rPr>
                      <w:color w:val="000000"/>
                      <w:sz w:val="28"/>
                      <w:szCs w:val="28"/>
                    </w:rPr>
                    <w:t>Call for Papers:</w:t>
                  </w:r>
                </w:p>
                <w:p w:rsidR="00CC3A83" w:rsidRDefault="00CC3A83">
                  <w:pPr>
                    <w:pStyle w:val="ListParagraph"/>
                    <w:ind w:left="360" w:hanging="360"/>
                    <w:rPr>
                      <w:rFonts w:ascii="Calibri" w:hAnsi="Calibri"/>
                      <w:color w:val="000000"/>
                      <w:sz w:val="28"/>
                      <w:szCs w:val="28"/>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 xml:space="preserve">IEEE </w:t>
                  </w:r>
                  <w:proofErr w:type="spellStart"/>
                  <w:r>
                    <w:rPr>
                      <w:rFonts w:ascii="Calibri" w:hAnsi="Calibri"/>
                      <w:color w:val="000000"/>
                      <w:sz w:val="28"/>
                      <w:szCs w:val="28"/>
                    </w:rPr>
                    <w:t>BigMM</w:t>
                  </w:r>
                  <w:proofErr w:type="spellEnd"/>
                  <w:r>
                    <w:rPr>
                      <w:rFonts w:ascii="Calibri" w:hAnsi="Calibri"/>
                      <w:color w:val="000000"/>
                      <w:sz w:val="28"/>
                      <w:szCs w:val="28"/>
                    </w:rPr>
                    <w:t xml:space="preserve"> 2017 – Deadline Approaching!</w:t>
                  </w:r>
                </w:p>
                <w:p w:rsidR="00CC3A83" w:rsidRDefault="00CC3A83">
                  <w:pPr>
                    <w:pStyle w:val="ListParagraph"/>
                    <w:ind w:left="0"/>
                    <w:rPr>
                      <w:rFonts w:ascii="Calibri" w:hAnsi="Calibri"/>
                      <w:color w:val="1F497D"/>
                      <w:sz w:val="22"/>
                      <w:szCs w:val="22"/>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IEEE ICME 2017 Workshops</w:t>
                  </w:r>
                </w:p>
                <w:p w:rsidR="00CC3A83" w:rsidRDefault="00CC3A83">
                  <w:pPr>
                    <w:pStyle w:val="ListParagraph"/>
                    <w:ind w:left="360" w:hanging="360"/>
                    <w:rPr>
                      <w:rFonts w:ascii="Calibri" w:hAnsi="Calibri"/>
                      <w:color w:val="000000"/>
                      <w:sz w:val="28"/>
                      <w:szCs w:val="28"/>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CBMI 2017</w:t>
                  </w:r>
                </w:p>
                <w:p w:rsidR="00CC3A83" w:rsidRDefault="00CC3A83">
                  <w:pPr>
                    <w:pStyle w:val="ListParagraph"/>
                    <w:ind w:left="360" w:hanging="360"/>
                    <w:rPr>
                      <w:rFonts w:ascii="Calibri" w:hAnsi="Calibri"/>
                      <w:color w:val="000000"/>
                      <w:sz w:val="28"/>
                      <w:szCs w:val="28"/>
                    </w:rPr>
                  </w:pPr>
                  <w:r>
                    <w:rPr>
                      <w:rFonts w:ascii="Symbol" w:hAnsi="Symbol"/>
                      <w:color w:val="000000"/>
                      <w:sz w:val="28"/>
                      <w:szCs w:val="28"/>
                    </w:rPr>
                    <w:t></w:t>
                  </w:r>
                  <w:r>
                    <w:rPr>
                      <w:color w:val="000000"/>
                      <w:sz w:val="14"/>
                      <w:szCs w:val="14"/>
                    </w:rPr>
                    <w:t xml:space="preserve">        </w:t>
                  </w:r>
                  <w:r>
                    <w:rPr>
                      <w:rFonts w:ascii="Calibri" w:hAnsi="Calibri"/>
                      <w:color w:val="000000"/>
                      <w:sz w:val="28"/>
                      <w:szCs w:val="28"/>
                    </w:rPr>
                    <w:t>JVCI Special Issue: Data-driven Multimedia Forensics and Security</w:t>
                  </w:r>
                </w:p>
                <w:p w:rsidR="00CC3A83" w:rsidRDefault="00CC3A83">
                  <w:pPr>
                    <w:spacing w:after="0" w:line="240" w:lineRule="auto"/>
                    <w:rPr>
                      <w:sz w:val="28"/>
                      <w:szCs w:val="28"/>
                    </w:rPr>
                  </w:pPr>
                </w:p>
              </w:tc>
            </w:tr>
            <w:tr w:rsidR="00CC3A83">
              <w:trPr>
                <w:trHeight w:val="575"/>
              </w:trPr>
              <w:tc>
                <w:tcPr>
                  <w:tcW w:w="1125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C3A83" w:rsidRDefault="00CC3A83">
                  <w:pPr>
                    <w:spacing w:after="120" w:line="240" w:lineRule="auto"/>
                    <w:jc w:val="center"/>
                    <w:rPr>
                      <w:b/>
                      <w:bCs/>
                      <w:color w:val="000000"/>
                      <w:sz w:val="28"/>
                      <w:szCs w:val="28"/>
                    </w:rPr>
                  </w:pPr>
                  <w:r>
                    <w:rPr>
                      <w:b/>
                      <w:bCs/>
                      <w:color w:val="000000"/>
                      <w:sz w:val="28"/>
                      <w:szCs w:val="28"/>
                    </w:rPr>
                    <w:t>Call for Papers</w:t>
                  </w:r>
                </w:p>
              </w:tc>
            </w:tr>
            <w:tr w:rsidR="00CC3A83">
              <w:trPr>
                <w:trHeight w:val="1772"/>
              </w:trPr>
              <w:tc>
                <w:tcPr>
                  <w:tcW w:w="595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CC3A83" w:rsidRDefault="00CC3A83">
                  <w:pPr>
                    <w:spacing w:after="0" w:line="240" w:lineRule="auto"/>
                    <w:ind w:right="-73"/>
                    <w:rPr>
                      <w:sz w:val="24"/>
                      <w:szCs w:val="24"/>
                    </w:rPr>
                  </w:pPr>
                  <w:r>
                    <w:rPr>
                      <w:noProof/>
                      <w:sz w:val="24"/>
                      <w:szCs w:val="24"/>
                    </w:rPr>
                    <w:drawing>
                      <wp:inline distT="0" distB="0" distL="0" distR="0">
                        <wp:extent cx="2809875" cy="981075"/>
                        <wp:effectExtent l="0" t="0" r="9525" b="9525"/>
                        <wp:docPr id="4" name="Picture 4" descr="cid:image006.jpg@01D24A57.F024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24A57.F02459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inline>
                    </w:drawing>
                  </w:r>
                </w:p>
                <w:p w:rsidR="00CC3A83" w:rsidRDefault="00CC3A83">
                  <w:pPr>
                    <w:pStyle w:val="Heading5"/>
                    <w:spacing w:line="240" w:lineRule="auto"/>
                    <w:rPr>
                      <w:rFonts w:ascii="Times New Roman" w:eastAsia="Times New Roman" w:hAnsi="Times New Roman"/>
                      <w:b/>
                      <w:bCs/>
                      <w:color w:val="auto"/>
                      <w:sz w:val="24"/>
                      <w:szCs w:val="24"/>
                    </w:rPr>
                  </w:pPr>
                  <w:r>
                    <w:rPr>
                      <w:rFonts w:ascii="Times New Roman" w:eastAsia="Times New Roman" w:hAnsi="Times New Roman"/>
                      <w:b/>
                      <w:bCs/>
                      <w:color w:val="auto"/>
                      <w:sz w:val="24"/>
                      <w:szCs w:val="24"/>
                    </w:rPr>
                    <w:t>IEEE International Conference</w:t>
                  </w:r>
                  <w:r>
                    <w:rPr>
                      <w:rFonts w:ascii="Times New Roman" w:eastAsia="Times New Roman" w:hAnsi="Times New Roman"/>
                      <w:b/>
                      <w:bCs/>
                      <w:color w:val="auto"/>
                      <w:sz w:val="24"/>
                      <w:szCs w:val="24"/>
                    </w:rPr>
                    <w:br/>
                    <w:t>on Multimedia Big Data (</w:t>
                  </w:r>
                  <w:proofErr w:type="spellStart"/>
                  <w:r>
                    <w:rPr>
                      <w:rFonts w:ascii="Times New Roman" w:eastAsia="Times New Roman" w:hAnsi="Times New Roman"/>
                      <w:b/>
                      <w:bCs/>
                      <w:color w:val="auto"/>
                      <w:sz w:val="24"/>
                      <w:szCs w:val="24"/>
                    </w:rPr>
                    <w:t>BigMM</w:t>
                  </w:r>
                  <w:proofErr w:type="spellEnd"/>
                  <w:r>
                    <w:rPr>
                      <w:rFonts w:ascii="Times New Roman" w:eastAsia="Times New Roman" w:hAnsi="Times New Roman"/>
                      <w:b/>
                      <w:bCs/>
                      <w:color w:val="auto"/>
                      <w:sz w:val="24"/>
                      <w:szCs w:val="24"/>
                    </w:rPr>
                    <w:t>)</w:t>
                  </w:r>
                </w:p>
                <w:p w:rsidR="00CC3A83" w:rsidRDefault="00CC3A83">
                  <w:pPr>
                    <w:spacing w:after="0" w:line="240" w:lineRule="auto"/>
                  </w:pPr>
                </w:p>
                <w:p w:rsidR="00CC3A83" w:rsidRDefault="00CC3A83">
                  <w:pPr>
                    <w:spacing w:after="0" w:line="240" w:lineRule="auto"/>
                    <w:rPr>
                      <w:color w:val="948A54"/>
                    </w:rPr>
                  </w:pPr>
                  <w:hyperlink r:id="rId13" w:history="1">
                    <w:r>
                      <w:rPr>
                        <w:rStyle w:val="Hyperlink"/>
                        <w:color w:val="00007F"/>
                      </w:rPr>
                      <w:t>http://bigmm.eecs.uci.edu/call_papers.html</w:t>
                    </w:r>
                  </w:hyperlink>
                </w:p>
                <w:p w:rsidR="00CC3A83" w:rsidRDefault="00CC3A83">
                  <w:pPr>
                    <w:spacing w:after="0" w:line="240" w:lineRule="auto"/>
                    <w:rPr>
                      <w:color w:val="948A54"/>
                      <w:sz w:val="14"/>
                      <w:szCs w:val="14"/>
                    </w:rPr>
                  </w:pPr>
                </w:p>
                <w:p w:rsidR="00CC3A83" w:rsidRDefault="00CC3A83">
                  <w:pPr>
                    <w:spacing w:after="0" w:line="240" w:lineRule="auto"/>
                    <w:rPr>
                      <w:color w:val="948A54"/>
                    </w:rPr>
                  </w:pPr>
                  <w:r>
                    <w:rPr>
                      <w:color w:val="948A54"/>
                    </w:rPr>
                    <w:t xml:space="preserve">All papers will be included in the </w:t>
                  </w:r>
                  <w:proofErr w:type="spellStart"/>
                  <w:r>
                    <w:rPr>
                      <w:color w:val="948A54"/>
                    </w:rPr>
                    <w:t>IEEExplore</w:t>
                  </w:r>
                  <w:proofErr w:type="spellEnd"/>
                  <w:r>
                    <w:rPr>
                      <w:color w:val="948A54"/>
                    </w:rPr>
                    <w:t xml:space="preserve"> and indexed by EI. Authors of high quality papers will be invited to submit an extended version to International Journal of Multimedia Data Engineering and Management.</w:t>
                  </w:r>
                </w:p>
                <w:p w:rsidR="00CC3A83" w:rsidRDefault="00CC3A83">
                  <w:pPr>
                    <w:spacing w:before="120" w:after="0" w:line="240" w:lineRule="auto"/>
                    <w:rPr>
                      <w:color w:val="948A54"/>
                    </w:rPr>
                  </w:pPr>
                  <w:r>
                    <w:rPr>
                      <w:color w:val="948A54"/>
                    </w:rPr>
                    <w:t xml:space="preserve">Topics include, but are not limited to: </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New theory and models for multimedia computing</w:t>
                  </w:r>
                </w:p>
                <w:p w:rsidR="00CC3A83" w:rsidRDefault="00CC3A83">
                  <w:pPr>
                    <w:spacing w:after="0" w:line="240" w:lineRule="auto"/>
                    <w:ind w:left="360" w:hanging="360"/>
                    <w:rPr>
                      <w:color w:val="948A54"/>
                    </w:rPr>
                  </w:pPr>
                  <w:r>
                    <w:rPr>
                      <w:rFonts w:ascii="Symbol" w:hAnsi="Symbol"/>
                      <w:color w:val="948A54"/>
                      <w:sz w:val="20"/>
                      <w:szCs w:val="20"/>
                    </w:rPr>
                    <w:lastRenderedPageBreak/>
                    <w:t></w:t>
                  </w:r>
                  <w:r>
                    <w:rPr>
                      <w:rFonts w:ascii="Times New Roman" w:hAnsi="Times New Roman"/>
                      <w:color w:val="948A54"/>
                      <w:sz w:val="14"/>
                      <w:szCs w:val="14"/>
                    </w:rPr>
                    <w:t>       </w:t>
                  </w:r>
                  <w:r>
                    <w:rPr>
                      <w:color w:val="948A54"/>
                    </w:rPr>
                    <w:t>Ultra-high efficiency compression, coding and transmission of multimedia big data</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Content analysis and data mining</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xml:space="preserve">       </w:t>
                  </w:r>
                  <w:r>
                    <w:rPr>
                      <w:color w:val="948A54"/>
                    </w:rPr>
                    <w:t>Semantic retrieval</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Deep learning and cloud computing</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Green computing for multimedia big data (e.g., high efficiency storage)</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Security and privacy in multimedia data</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Interaction, access, visualization of multimedia data</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Multimedia systems</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 xml:space="preserve">Novel and incentive applications of multimedia data in various fields </w:t>
                  </w:r>
                </w:p>
                <w:p w:rsidR="00CC3A83" w:rsidRDefault="00CC3A83">
                  <w:pPr>
                    <w:spacing w:after="0" w:line="240" w:lineRule="auto"/>
                    <w:ind w:left="720"/>
                    <w:rPr>
                      <w:color w:val="948A54"/>
                      <w:sz w:val="14"/>
                      <w:szCs w:val="14"/>
                    </w:rPr>
                  </w:pPr>
                </w:p>
                <w:p w:rsidR="00CC3A83" w:rsidRDefault="00CC3A83">
                  <w:pPr>
                    <w:pStyle w:val="Heading4"/>
                    <w:spacing w:before="0"/>
                    <w:rPr>
                      <w:rFonts w:eastAsia="Times New Roman"/>
                    </w:rPr>
                  </w:pPr>
                  <w:r>
                    <w:rPr>
                      <w:rFonts w:eastAsia="Times New Roman"/>
                    </w:rPr>
                    <w:t>Important Dates:</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 xml:space="preserve">Regular Paper Submission: </w:t>
                  </w:r>
                  <w:r>
                    <w:rPr>
                      <w:color w:val="FF0000"/>
                    </w:rPr>
                    <w:t>January 6, 2017 (extended)</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 xml:space="preserve">Short Paper Submission: </w:t>
                  </w:r>
                  <w:r>
                    <w:rPr>
                      <w:color w:val="FF0000"/>
                    </w:rPr>
                    <w:t>January 6, 2017 (extended)</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 xml:space="preserve">Industry Paper Submission: </w:t>
                  </w:r>
                  <w:r>
                    <w:rPr>
                      <w:color w:val="FF0000"/>
                    </w:rPr>
                    <w:t>January 6, 2017 (extended)</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 xml:space="preserve">Demo Paper Submission: </w:t>
                  </w:r>
                  <w:r>
                    <w:rPr>
                      <w:color w:val="FF0000"/>
                    </w:rPr>
                    <w:t>January 6, 2017 (extended)</w:t>
                  </w:r>
                </w:p>
                <w:p w:rsidR="00CC3A83" w:rsidRDefault="00CC3A83">
                  <w:pPr>
                    <w:spacing w:after="0" w:line="240" w:lineRule="auto"/>
                    <w:rPr>
                      <w:color w:val="948A54"/>
                      <w:sz w:val="12"/>
                      <w:szCs w:val="12"/>
                    </w:rPr>
                  </w:pPr>
                </w:p>
                <w:p w:rsidR="00CC3A83" w:rsidRDefault="00CC3A83">
                  <w:pPr>
                    <w:spacing w:after="0" w:line="240" w:lineRule="auto"/>
                    <w:rPr>
                      <w:b/>
                      <w:bCs/>
                      <w:color w:val="000000"/>
                    </w:rPr>
                  </w:pPr>
                  <w:r>
                    <w:rPr>
                      <w:noProof/>
                    </w:rPr>
                    <w:drawing>
                      <wp:inline distT="0" distB="0" distL="0" distR="0">
                        <wp:extent cx="1162050" cy="333375"/>
                        <wp:effectExtent l="0" t="0" r="0" b="9525"/>
                        <wp:docPr id="3" name="Picture 3" descr="ICM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ME 201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inline>
                    </w:drawing>
                  </w:r>
                </w:p>
                <w:p w:rsidR="00CC3A83" w:rsidRDefault="00CC3A83">
                  <w:pPr>
                    <w:spacing w:after="0" w:line="240" w:lineRule="auto"/>
                    <w:rPr>
                      <w:rFonts w:ascii="Times New Roman" w:hAnsi="Times New Roman"/>
                      <w:sz w:val="24"/>
                      <w:szCs w:val="24"/>
                    </w:rPr>
                  </w:pPr>
                  <w:r>
                    <w:rPr>
                      <w:rFonts w:ascii="Times New Roman" w:hAnsi="Times New Roman"/>
                      <w:b/>
                      <w:bCs/>
                      <w:sz w:val="24"/>
                      <w:szCs w:val="24"/>
                    </w:rPr>
                    <w:t xml:space="preserve">IEEE International Conference on Multimedia and Expo </w:t>
                  </w:r>
                </w:p>
                <w:p w:rsidR="00CC3A83" w:rsidRDefault="00CC3A83">
                  <w:pPr>
                    <w:spacing w:after="0" w:line="240" w:lineRule="auto"/>
                    <w:rPr>
                      <w:b/>
                      <w:bCs/>
                      <w:color w:val="000000"/>
                    </w:rPr>
                  </w:pPr>
                  <w:hyperlink r:id="rId16" w:history="1">
                    <w:r>
                      <w:rPr>
                        <w:rStyle w:val="Hyperlink"/>
                        <w:b/>
                        <w:bCs/>
                      </w:rPr>
                      <w:t>http://www.icme2017.org/call-for-papers/</w:t>
                    </w:r>
                  </w:hyperlink>
                </w:p>
                <w:p w:rsidR="00CC3A83" w:rsidRDefault="00CC3A83">
                  <w:pPr>
                    <w:pStyle w:val="NormalWeb"/>
                    <w:rPr>
                      <w:rFonts w:ascii="Calibri" w:hAnsi="Calibri"/>
                      <w:color w:val="1F497D"/>
                      <w:sz w:val="22"/>
                      <w:szCs w:val="22"/>
                    </w:rPr>
                  </w:pPr>
                  <w:r>
                    <w:rPr>
                      <w:rFonts w:ascii="Calibri" w:hAnsi="Calibri"/>
                      <w:color w:val="948A54"/>
                      <w:sz w:val="22"/>
                      <w:szCs w:val="22"/>
                    </w:rPr>
                    <w:t xml:space="preserve">IEEE International Conference on Multimedia &amp; Expo (ICME) has been the flagship multimedia conference sponsored by four IEEE societies since 2000. </w:t>
                  </w:r>
                </w:p>
                <w:p w:rsidR="00CC3A83" w:rsidRDefault="00CC3A83">
                  <w:pPr>
                    <w:pStyle w:val="NormalWeb"/>
                    <w:shd w:val="clear" w:color="auto" w:fill="FFFFFF"/>
                    <w:spacing w:line="375" w:lineRule="atLeast"/>
                    <w:rPr>
                      <w:rFonts w:ascii="Calibri" w:hAnsi="Calibri"/>
                      <w:color w:val="948A54"/>
                      <w:sz w:val="22"/>
                      <w:szCs w:val="22"/>
                    </w:rPr>
                  </w:pPr>
                  <w:r>
                    <w:rPr>
                      <w:rFonts w:ascii="Calibri" w:hAnsi="Calibri"/>
                      <w:color w:val="948A54"/>
                      <w:sz w:val="22"/>
                      <w:szCs w:val="22"/>
                    </w:rPr>
                    <w:t>Ten workshops will be held in conjunction with ICME 2017:</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hyperlink r:id="rId17" w:tgtFrame="_blank" w:history="1">
                    <w:r>
                      <w:rPr>
                        <w:rStyle w:val="Hyperlink"/>
                        <w:rFonts w:ascii="Calibri" w:hAnsi="Calibri"/>
                        <w:color w:val="948A54"/>
                        <w:sz w:val="22"/>
                        <w:szCs w:val="22"/>
                      </w:rPr>
                      <w:t>4th IEEE International Workshop on Mobile Multimedia Computing (MMC 2017)</w:t>
                    </w:r>
                  </w:hyperlink>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The Second Workshop on Human Identification in Multimedia (HIM’17)</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International Workshop on Emerging Multimedia Systems and Applications</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Multimedia and the Cloud</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Multimedia Streaming in Information-/Content-Centric Networks (</w:t>
                  </w:r>
                  <w:proofErr w:type="spellStart"/>
                  <w:r>
                    <w:rPr>
                      <w:rFonts w:ascii="Calibri" w:hAnsi="Calibri"/>
                      <w:color w:val="948A54"/>
                      <w:sz w:val="22"/>
                      <w:szCs w:val="22"/>
                    </w:rPr>
                    <w:t>MuSIC</w:t>
                  </w:r>
                  <w:proofErr w:type="spellEnd"/>
                  <w:r>
                    <w:rPr>
                      <w:rFonts w:ascii="Calibri" w:hAnsi="Calibri"/>
                      <w:color w:val="948A54"/>
                      <w:sz w:val="22"/>
                      <w:szCs w:val="22"/>
                    </w:rPr>
                    <w:t>)</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8th Workshop on Hot Topics in 3D Multimedia (Hot3D)</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lastRenderedPageBreak/>
                    <w:t></w:t>
                  </w:r>
                  <w:r>
                    <w:rPr>
                      <w:color w:val="948A54"/>
                      <w:sz w:val="14"/>
                      <w:szCs w:val="14"/>
                    </w:rPr>
                    <w:t>       </w:t>
                  </w:r>
                  <w:r>
                    <w:rPr>
                      <w:rFonts w:ascii="Calibri" w:hAnsi="Calibri"/>
                      <w:color w:val="948A54"/>
                      <w:sz w:val="22"/>
                      <w:szCs w:val="22"/>
                    </w:rPr>
                    <w:t>International Workshop on Multimedia Artworks Analysis (</w:t>
                  </w:r>
                  <w:proofErr w:type="spellStart"/>
                  <w:r>
                    <w:rPr>
                      <w:rFonts w:ascii="Calibri" w:hAnsi="Calibri"/>
                      <w:color w:val="948A54"/>
                      <w:sz w:val="22"/>
                      <w:szCs w:val="22"/>
                    </w:rPr>
                    <w:t>MMArt</w:t>
                  </w:r>
                  <w:proofErr w:type="spellEnd"/>
                  <w:r>
                    <w:rPr>
                      <w:rFonts w:ascii="Calibri" w:hAnsi="Calibri"/>
                      <w:color w:val="948A54"/>
                      <w:sz w:val="22"/>
                      <w:szCs w:val="22"/>
                    </w:rPr>
                    <w:t xml:space="preserve"> 2017)</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Deep Learning for Intelligent Multimedia Analytics</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Large Scale 3D Human Activity Analysis Challenge in Depth Videos</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w:t>
                  </w:r>
                  <w:r>
                    <w:rPr>
                      <w:rFonts w:ascii="Calibri" w:hAnsi="Calibri"/>
                      <w:color w:val="948A54"/>
                      <w:sz w:val="22"/>
                      <w:szCs w:val="22"/>
                    </w:rPr>
                    <w:t>Multimedia Services and Technologies for E-health (MUST-EH 2017)</w:t>
                  </w:r>
                </w:p>
                <w:p w:rsidR="00CC3A83" w:rsidRDefault="00CC3A83">
                  <w:pPr>
                    <w:pStyle w:val="NormalWeb"/>
                    <w:rPr>
                      <w:rFonts w:ascii="Calibri" w:hAnsi="Calibri"/>
                      <w:color w:val="948A54"/>
                      <w:sz w:val="22"/>
                      <w:szCs w:val="22"/>
                    </w:rPr>
                  </w:pPr>
                </w:p>
                <w:p w:rsidR="00CC3A83" w:rsidRDefault="00CC3A83">
                  <w:pPr>
                    <w:spacing w:after="0" w:line="240" w:lineRule="auto"/>
                    <w:rPr>
                      <w:rFonts w:ascii="Cambria" w:hAnsi="Cambria"/>
                      <w:b/>
                      <w:bCs/>
                      <w:i/>
                      <w:iCs/>
                      <w:color w:val="4F81BD"/>
                      <w:sz w:val="12"/>
                      <w:szCs w:val="12"/>
                    </w:rPr>
                  </w:pPr>
                </w:p>
                <w:p w:rsidR="00CC3A83" w:rsidRDefault="00CC3A83">
                  <w:pPr>
                    <w:spacing w:after="0" w:line="240" w:lineRule="auto"/>
                    <w:rPr>
                      <w:rFonts w:ascii="Cambria" w:hAnsi="Cambria"/>
                      <w:b/>
                      <w:bCs/>
                      <w:i/>
                      <w:iCs/>
                      <w:color w:val="4F81BD"/>
                      <w:sz w:val="28"/>
                      <w:szCs w:val="28"/>
                    </w:rPr>
                  </w:pPr>
                  <w:r>
                    <w:rPr>
                      <w:rFonts w:ascii="Cambria" w:hAnsi="Cambria"/>
                      <w:b/>
                      <w:bCs/>
                      <w:i/>
                      <w:iCs/>
                      <w:color w:val="4F81BD"/>
                      <w:sz w:val="24"/>
                      <w:szCs w:val="24"/>
                    </w:rPr>
                    <w:t>Important Dates:</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Workshop Paper Submission: February 27, 2016</w:t>
                  </w:r>
                  <w:r>
                    <w:rPr>
                      <w:color w:val="FF0000"/>
                    </w:rPr>
                    <w:t xml:space="preserve"> </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w:t>
                  </w:r>
                  <w:r>
                    <w:rPr>
                      <w:color w:val="948A54"/>
                    </w:rPr>
                    <w:t>Workshop Days: July 10 and July 14, 2017</w:t>
                  </w:r>
                </w:p>
                <w:p w:rsidR="00CC3A83" w:rsidRDefault="00CC3A83">
                  <w:pPr>
                    <w:spacing w:after="0" w:line="240" w:lineRule="auto"/>
                    <w:rPr>
                      <w:color w:val="948A54"/>
                    </w:rPr>
                  </w:pPr>
                </w:p>
              </w:tc>
              <w:tc>
                <w:tcPr>
                  <w:tcW w:w="5291" w:type="dxa"/>
                  <w:tcBorders>
                    <w:top w:val="nil"/>
                    <w:left w:val="nil"/>
                    <w:bottom w:val="single" w:sz="8" w:space="0" w:color="auto"/>
                    <w:right w:val="single" w:sz="8" w:space="0" w:color="auto"/>
                  </w:tcBorders>
                  <w:tcMar>
                    <w:top w:w="0" w:type="dxa"/>
                    <w:left w:w="108" w:type="dxa"/>
                    <w:bottom w:w="0" w:type="dxa"/>
                    <w:right w:w="108" w:type="dxa"/>
                  </w:tcMar>
                </w:tcPr>
                <w:p w:rsidR="00CC3A83" w:rsidRDefault="00CC3A83">
                  <w:pPr>
                    <w:spacing w:after="0" w:line="240" w:lineRule="auto"/>
                    <w:ind w:firstLine="53"/>
                    <w:rPr>
                      <w:color w:val="948A54"/>
                      <w:sz w:val="12"/>
                      <w:szCs w:val="12"/>
                    </w:rPr>
                  </w:pPr>
                  <w:r>
                    <w:rPr>
                      <w:noProof/>
                    </w:rPr>
                    <w:lastRenderedPageBreak/>
                    <w:drawing>
                      <wp:inline distT="0" distB="0" distL="0" distR="0">
                        <wp:extent cx="2705100" cy="990600"/>
                        <wp:effectExtent l="0" t="0" r="0" b="0"/>
                        <wp:docPr id="2" name="Picture 2" descr="cid:image005.jpg@01D24A59.5E61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24A59.5E611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100" cy="990600"/>
                                </a:xfrm>
                                <a:prstGeom prst="rect">
                                  <a:avLst/>
                                </a:prstGeom>
                                <a:noFill/>
                                <a:ln>
                                  <a:noFill/>
                                </a:ln>
                              </pic:spPr>
                            </pic:pic>
                          </a:graphicData>
                        </a:graphic>
                      </wp:inline>
                    </w:drawing>
                  </w:r>
                </w:p>
                <w:p w:rsidR="00CC3A83" w:rsidRDefault="00CC3A83">
                  <w:pPr>
                    <w:spacing w:after="0" w:line="240" w:lineRule="auto"/>
                    <w:rPr>
                      <w:rFonts w:ascii="Times New Roman" w:hAnsi="Times New Roman"/>
                      <w:b/>
                      <w:bCs/>
                      <w:sz w:val="24"/>
                      <w:szCs w:val="24"/>
                    </w:rPr>
                  </w:pPr>
                  <w:r>
                    <w:rPr>
                      <w:rFonts w:ascii="Times New Roman" w:hAnsi="Times New Roman"/>
                      <w:b/>
                      <w:bCs/>
                      <w:sz w:val="24"/>
                      <w:szCs w:val="24"/>
                    </w:rPr>
                    <w:t>International Workshop on Content-Based Multimedia Indexing (CBMI 2017)</w:t>
                  </w:r>
                </w:p>
                <w:p w:rsidR="00CC3A83" w:rsidRDefault="00CC3A83">
                  <w:pPr>
                    <w:spacing w:after="0" w:line="240" w:lineRule="auto"/>
                    <w:rPr>
                      <w:rFonts w:ascii="Courier New" w:hAnsi="Courier New" w:cs="Courier New"/>
                    </w:rPr>
                  </w:pPr>
                </w:p>
                <w:p w:rsidR="00CC3A83" w:rsidRDefault="00CC3A83">
                  <w:pPr>
                    <w:spacing w:after="0" w:line="240" w:lineRule="auto"/>
                    <w:rPr>
                      <w:rStyle w:val="Hyperlink"/>
                      <w:color w:val="00007F"/>
                    </w:rPr>
                  </w:pPr>
                  <w:hyperlink r:id="rId20" w:history="1">
                    <w:r>
                      <w:rPr>
                        <w:rStyle w:val="Hyperlink"/>
                      </w:rPr>
                      <w:t>http://cbmi2017.micc.unifi.it</w:t>
                    </w:r>
                  </w:hyperlink>
                </w:p>
                <w:p w:rsidR="00CC3A83" w:rsidRDefault="00CC3A83">
                  <w:pPr>
                    <w:spacing w:after="0" w:line="240" w:lineRule="auto"/>
                    <w:rPr>
                      <w:rFonts w:ascii="Times New Roman" w:hAnsi="Times New Roman"/>
                      <w:b/>
                      <w:bCs/>
                      <w:sz w:val="24"/>
                      <w:szCs w:val="24"/>
                    </w:rPr>
                  </w:pPr>
                </w:p>
                <w:p w:rsidR="00CC3A83" w:rsidRDefault="00CC3A83">
                  <w:pPr>
                    <w:spacing w:after="0" w:line="240" w:lineRule="auto"/>
                    <w:rPr>
                      <w:color w:val="948A54"/>
                    </w:rPr>
                  </w:pPr>
                  <w:r>
                    <w:rPr>
                      <w:color w:val="948A54"/>
                    </w:rPr>
                    <w:t>CBMI aims at bringing together the various communities involved in all aspects of content-based multimedia indexing for retrieval, browsing, management, visualization and analytics. The scientific program will include invited keynote talks and regular, special and demo sessions.</w:t>
                  </w:r>
                </w:p>
                <w:p w:rsidR="00CC3A83" w:rsidRDefault="00CC3A83">
                  <w:pPr>
                    <w:spacing w:after="0" w:line="240" w:lineRule="auto"/>
                    <w:rPr>
                      <w:color w:val="948A54"/>
                    </w:rPr>
                  </w:pPr>
                  <w:r>
                    <w:rPr>
                      <w:color w:val="948A54"/>
                    </w:rPr>
                    <w:t xml:space="preserve">Authors are encouraged to submit previously unpublished research papers in the broad field of content-based multimedia indexing and </w:t>
                  </w:r>
                  <w:r>
                    <w:rPr>
                      <w:color w:val="948A54"/>
                    </w:rPr>
                    <w:lastRenderedPageBreak/>
                    <w:t xml:space="preserve">applications. We wish to highlight significant contributions addressing the main problem of search and retrieval but also the related and equally important issues of multimedia content management, user interaction, large-scale search, learning in retrieval, social media indexing and retrieval. Additional special sessions are planned in areas such as deep learning for retrieval, social media retrieval, cultural heritage, surveillance and security. The CBMI proceedings are traditionally indexed and distributed by IEEE </w:t>
                  </w:r>
                  <w:proofErr w:type="spellStart"/>
                  <w:r>
                    <w:rPr>
                      <w:color w:val="948A54"/>
                    </w:rPr>
                    <w:t>Xplore</w:t>
                  </w:r>
                  <w:proofErr w:type="spellEnd"/>
                  <w:r>
                    <w:rPr>
                      <w:color w:val="948A54"/>
                    </w:rPr>
                    <w:t xml:space="preserve"> and ACM DL. In addition, authors of the best papers of the conference will be invited to submit extended versions of their contributions to a special issue of Multimedia Tools and Applications journal.</w:t>
                  </w:r>
                </w:p>
                <w:p w:rsidR="00CC3A83" w:rsidRDefault="00CC3A83">
                  <w:pPr>
                    <w:spacing w:after="0" w:line="240" w:lineRule="auto"/>
                    <w:rPr>
                      <w:color w:val="948A54"/>
                    </w:rPr>
                  </w:pPr>
                </w:p>
                <w:p w:rsidR="00CC3A83" w:rsidRDefault="00CC3A83">
                  <w:pPr>
                    <w:spacing w:after="0" w:line="240" w:lineRule="auto"/>
                    <w:rPr>
                      <w:rFonts w:ascii="Cambria" w:hAnsi="Cambria"/>
                      <w:b/>
                      <w:bCs/>
                      <w:i/>
                      <w:iCs/>
                      <w:color w:val="4F81BD"/>
                      <w:sz w:val="24"/>
                      <w:szCs w:val="24"/>
                    </w:rPr>
                  </w:pPr>
                  <w:r>
                    <w:rPr>
                      <w:rFonts w:ascii="Cambria" w:hAnsi="Cambria"/>
                      <w:b/>
                      <w:bCs/>
                      <w:i/>
                      <w:iCs/>
                      <w:color w:val="4F81BD"/>
                      <w:sz w:val="24"/>
                      <w:szCs w:val="24"/>
                    </w:rPr>
                    <w:t>Important Dates:</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xml:space="preserve">         </w:t>
                  </w:r>
                  <w:r>
                    <w:rPr>
                      <w:color w:val="948A54"/>
                    </w:rPr>
                    <w:t>Submission: February 28, 2017</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xml:space="preserve">         </w:t>
                  </w:r>
                  <w:r>
                    <w:rPr>
                      <w:color w:val="948A54"/>
                    </w:rPr>
                    <w:t>Notification of Acceptance: April 10, 2017</w:t>
                  </w:r>
                </w:p>
                <w:p w:rsidR="00CC3A83" w:rsidRDefault="00CC3A83">
                  <w:pPr>
                    <w:spacing w:after="0" w:line="240" w:lineRule="auto"/>
                    <w:ind w:left="360" w:hanging="360"/>
                    <w:rPr>
                      <w:color w:val="948A54"/>
                    </w:rPr>
                  </w:pPr>
                  <w:r>
                    <w:rPr>
                      <w:rFonts w:ascii="Symbol" w:hAnsi="Symbol"/>
                      <w:color w:val="948A54"/>
                      <w:sz w:val="20"/>
                      <w:szCs w:val="20"/>
                    </w:rPr>
                    <w:t></w:t>
                  </w:r>
                  <w:r>
                    <w:rPr>
                      <w:rFonts w:ascii="Times New Roman" w:hAnsi="Times New Roman"/>
                      <w:color w:val="948A54"/>
                      <w:sz w:val="14"/>
                      <w:szCs w:val="14"/>
                    </w:rPr>
                    <w:t xml:space="preserve">         </w:t>
                  </w:r>
                  <w:r>
                    <w:rPr>
                      <w:color w:val="948A54"/>
                    </w:rPr>
                    <w:t>Camera-Ready Submission: April 21, 2017</w:t>
                  </w:r>
                </w:p>
                <w:p w:rsidR="00CC3A83" w:rsidRDefault="00CC3A83">
                  <w:pPr>
                    <w:spacing w:after="0" w:line="240" w:lineRule="auto"/>
                    <w:rPr>
                      <w:color w:val="948A54"/>
                      <w:sz w:val="12"/>
                      <w:szCs w:val="12"/>
                    </w:rPr>
                  </w:pPr>
                </w:p>
                <w:p w:rsidR="00CC3A83" w:rsidRDefault="00CC3A83">
                  <w:pPr>
                    <w:spacing w:after="0" w:line="240" w:lineRule="auto"/>
                    <w:rPr>
                      <w:color w:val="948A54"/>
                      <w:sz w:val="10"/>
                      <w:szCs w:val="10"/>
                    </w:rPr>
                  </w:pPr>
                </w:p>
                <w:p w:rsidR="00CC3A83" w:rsidRDefault="00CC3A83">
                  <w:pPr>
                    <w:spacing w:after="0" w:line="240" w:lineRule="auto"/>
                    <w:rPr>
                      <w:color w:val="0070C0"/>
                    </w:rPr>
                  </w:pPr>
                  <w:r>
                    <w:rPr>
                      <w:noProof/>
                      <w:color w:val="0070C0"/>
                    </w:rPr>
                    <w:drawing>
                      <wp:inline distT="0" distB="0" distL="0" distR="0">
                        <wp:extent cx="3067050" cy="419100"/>
                        <wp:effectExtent l="0" t="0" r="0" b="0"/>
                        <wp:docPr id="1" name="Picture 1" descr="cid:image009.png@01D24A57.F0245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9.png@01D24A57.F02459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67050" cy="419100"/>
                                </a:xfrm>
                                <a:prstGeom prst="rect">
                                  <a:avLst/>
                                </a:prstGeom>
                                <a:noFill/>
                                <a:ln>
                                  <a:noFill/>
                                </a:ln>
                              </pic:spPr>
                            </pic:pic>
                          </a:graphicData>
                        </a:graphic>
                      </wp:inline>
                    </w:drawing>
                  </w:r>
                </w:p>
                <w:p w:rsidR="00CC3A83" w:rsidRDefault="00CC3A83">
                  <w:pPr>
                    <w:spacing w:after="0" w:line="240" w:lineRule="auto"/>
                    <w:rPr>
                      <w:color w:val="0070C0"/>
                    </w:rPr>
                  </w:pPr>
                </w:p>
                <w:p w:rsidR="00CC3A83" w:rsidRDefault="00CC3A83">
                  <w:pPr>
                    <w:spacing w:after="0" w:line="240" w:lineRule="auto"/>
                    <w:rPr>
                      <w:rFonts w:ascii="Times New Roman" w:hAnsi="Times New Roman"/>
                      <w:b/>
                      <w:bCs/>
                      <w:sz w:val="24"/>
                      <w:szCs w:val="24"/>
                    </w:rPr>
                  </w:pPr>
                  <w:r>
                    <w:rPr>
                      <w:rFonts w:ascii="Times New Roman" w:hAnsi="Times New Roman"/>
                      <w:b/>
                      <w:bCs/>
                      <w:sz w:val="24"/>
                      <w:szCs w:val="24"/>
                    </w:rPr>
                    <w:t>Special Issue on Data-driven Multimedia Forensics and Security</w:t>
                  </w:r>
                </w:p>
                <w:p w:rsidR="00CC3A83" w:rsidRDefault="00CC3A83">
                  <w:pPr>
                    <w:spacing w:after="0" w:line="240" w:lineRule="auto"/>
                    <w:rPr>
                      <w:color w:val="0070C0"/>
                    </w:rPr>
                  </w:pPr>
                  <w:hyperlink r:id="rId23" w:history="1">
                    <w:r>
                      <w:rPr>
                        <w:rStyle w:val="Hyperlink"/>
                      </w:rPr>
                      <w:t>http://tinyurl.com/zd4cgtf</w:t>
                    </w:r>
                  </w:hyperlink>
                </w:p>
                <w:p w:rsidR="00CC3A83" w:rsidRDefault="00CC3A83">
                  <w:pPr>
                    <w:spacing w:after="0" w:line="240" w:lineRule="auto"/>
                    <w:rPr>
                      <w:color w:val="0070C0"/>
                    </w:rPr>
                  </w:pPr>
                </w:p>
                <w:p w:rsidR="00CC3A83" w:rsidRDefault="00CC3A83">
                  <w:pPr>
                    <w:spacing w:after="0" w:line="240" w:lineRule="auto"/>
                    <w:rPr>
                      <w:color w:val="948A54"/>
                    </w:rPr>
                  </w:pPr>
                  <w:r>
                    <w:rPr>
                      <w:color w:val="948A54"/>
                    </w:rPr>
                    <w:t xml:space="preserve">This Special Issue invites researchers in all related fields (including but not limited to image and video signal processing, machine learning, computer vision and pattern recognition, cyber security, digital forensics) to join us in a quest for pinpointing the next-generation image and video forensics and security solutions of tomorrow, capable of processing image and video data using the recently-developed deep learning paradigm and other new modelling and learning techniques. ALL submissions must highlight their machine-learning based approach and discuss how their solutions deal with large collections of data. The core data used in your work should be visual data (images and videos). Video data may also include RGB, IR, and depth data. </w:t>
                  </w:r>
                </w:p>
                <w:p w:rsidR="00CC3A83" w:rsidRDefault="00CC3A83">
                  <w:pPr>
                    <w:spacing w:after="0" w:line="240" w:lineRule="auto"/>
                    <w:rPr>
                      <w:color w:val="948A54"/>
                      <w:sz w:val="12"/>
                      <w:szCs w:val="12"/>
                    </w:rPr>
                  </w:pPr>
                </w:p>
                <w:p w:rsidR="00CC3A83" w:rsidRDefault="00CC3A83">
                  <w:pPr>
                    <w:spacing w:after="0" w:line="240" w:lineRule="auto"/>
                    <w:rPr>
                      <w:rFonts w:ascii="Cambria" w:hAnsi="Cambria"/>
                      <w:b/>
                      <w:bCs/>
                      <w:i/>
                      <w:iCs/>
                      <w:color w:val="4F81BD"/>
                      <w:sz w:val="28"/>
                      <w:szCs w:val="28"/>
                    </w:rPr>
                  </w:pPr>
                  <w:r>
                    <w:rPr>
                      <w:rFonts w:ascii="Cambria" w:hAnsi="Cambria"/>
                      <w:b/>
                      <w:bCs/>
                      <w:i/>
                      <w:iCs/>
                      <w:color w:val="4F81BD"/>
                      <w:sz w:val="24"/>
                      <w:szCs w:val="24"/>
                    </w:rPr>
                    <w:t>Important Dates:</w:t>
                  </w:r>
                </w:p>
                <w:p w:rsidR="00CC3A83" w:rsidRDefault="00CC3A83">
                  <w:pPr>
                    <w:pStyle w:val="ListParagraph"/>
                    <w:ind w:left="360" w:hanging="360"/>
                    <w:rPr>
                      <w:rFonts w:ascii="Calibri" w:hAnsi="Calibri"/>
                      <w:color w:val="948A54"/>
                      <w:sz w:val="22"/>
                      <w:szCs w:val="22"/>
                    </w:rPr>
                  </w:pPr>
                  <w:r>
                    <w:rPr>
                      <w:rFonts w:ascii="Symbol" w:hAnsi="Symbol"/>
                      <w:color w:val="948A54"/>
                      <w:sz w:val="22"/>
                      <w:szCs w:val="22"/>
                    </w:rPr>
                    <w:t></w:t>
                  </w:r>
                  <w:r>
                    <w:rPr>
                      <w:color w:val="948A54"/>
                      <w:sz w:val="14"/>
                      <w:szCs w:val="14"/>
                    </w:rPr>
                    <w:t xml:space="preserve">         </w:t>
                  </w:r>
                  <w:r>
                    <w:rPr>
                      <w:rFonts w:ascii="Calibri" w:hAnsi="Calibri"/>
                      <w:color w:val="948A54"/>
                      <w:sz w:val="22"/>
                      <w:szCs w:val="22"/>
                    </w:rPr>
                    <w:t xml:space="preserve">Paper Submission: February 28th, 2017 </w:t>
                  </w:r>
                </w:p>
                <w:p w:rsidR="00CC3A83" w:rsidRDefault="00CC3A83">
                  <w:pPr>
                    <w:pStyle w:val="ListParagraph"/>
                    <w:autoSpaceDE w:val="0"/>
                    <w:autoSpaceDN w:val="0"/>
                    <w:ind w:left="360" w:hanging="360"/>
                    <w:rPr>
                      <w:rFonts w:ascii="Calibri" w:hAnsi="Calibri"/>
                      <w:color w:val="948A54"/>
                      <w:sz w:val="22"/>
                      <w:szCs w:val="22"/>
                    </w:rPr>
                  </w:pPr>
                  <w:r>
                    <w:rPr>
                      <w:rFonts w:ascii="Symbol" w:hAnsi="Symbol"/>
                      <w:color w:val="948A54"/>
                      <w:sz w:val="22"/>
                      <w:szCs w:val="22"/>
                    </w:rPr>
                    <w:lastRenderedPageBreak/>
                    <w:t></w:t>
                  </w:r>
                  <w:r>
                    <w:rPr>
                      <w:color w:val="948A54"/>
                      <w:sz w:val="14"/>
                      <w:szCs w:val="14"/>
                    </w:rPr>
                    <w:t xml:space="preserve">         </w:t>
                  </w:r>
                  <w:r>
                    <w:rPr>
                      <w:rFonts w:ascii="Calibri" w:hAnsi="Calibri"/>
                      <w:color w:val="948A54"/>
                      <w:sz w:val="22"/>
                      <w:szCs w:val="22"/>
                    </w:rPr>
                    <w:t xml:space="preserve">1st. Round of Reviews: May 15th, 2017 </w:t>
                  </w:r>
                </w:p>
                <w:p w:rsidR="00CC3A83" w:rsidRDefault="00CC3A83">
                  <w:pPr>
                    <w:pStyle w:val="ListParagraph"/>
                    <w:autoSpaceDE w:val="0"/>
                    <w:autoSpaceDN w:val="0"/>
                    <w:ind w:left="360" w:hanging="360"/>
                    <w:rPr>
                      <w:rFonts w:ascii="Calibri" w:hAnsi="Calibri"/>
                      <w:color w:val="948A54"/>
                      <w:sz w:val="22"/>
                      <w:szCs w:val="22"/>
                    </w:rPr>
                  </w:pPr>
                  <w:r>
                    <w:rPr>
                      <w:rFonts w:ascii="Symbol" w:hAnsi="Symbol"/>
                      <w:color w:val="948A54"/>
                      <w:sz w:val="22"/>
                      <w:szCs w:val="22"/>
                    </w:rPr>
                    <w:t></w:t>
                  </w:r>
                  <w:r>
                    <w:rPr>
                      <w:color w:val="948A54"/>
                      <w:sz w:val="14"/>
                      <w:szCs w:val="14"/>
                    </w:rPr>
                    <w:t xml:space="preserve">         </w:t>
                  </w:r>
                  <w:r>
                    <w:rPr>
                      <w:rFonts w:ascii="Calibri" w:hAnsi="Calibri"/>
                      <w:color w:val="948A54"/>
                      <w:sz w:val="22"/>
                      <w:szCs w:val="22"/>
                    </w:rPr>
                    <w:t xml:space="preserve">Authors Revised Versions: June 30th, 2017 </w:t>
                  </w:r>
                </w:p>
                <w:p w:rsidR="00CC3A83" w:rsidRDefault="00CC3A83">
                  <w:pPr>
                    <w:pStyle w:val="ListParagraph"/>
                    <w:autoSpaceDE w:val="0"/>
                    <w:autoSpaceDN w:val="0"/>
                    <w:ind w:left="360" w:hanging="360"/>
                    <w:rPr>
                      <w:rFonts w:ascii="Calibri" w:hAnsi="Calibri"/>
                      <w:color w:val="948A54"/>
                      <w:sz w:val="22"/>
                      <w:szCs w:val="22"/>
                    </w:rPr>
                  </w:pPr>
                  <w:r>
                    <w:rPr>
                      <w:rFonts w:ascii="Symbol" w:hAnsi="Symbol"/>
                      <w:color w:val="948A54"/>
                      <w:sz w:val="22"/>
                      <w:szCs w:val="22"/>
                    </w:rPr>
                    <w:t></w:t>
                  </w:r>
                  <w:r>
                    <w:rPr>
                      <w:color w:val="948A54"/>
                      <w:sz w:val="14"/>
                      <w:szCs w:val="14"/>
                    </w:rPr>
                    <w:t xml:space="preserve">         </w:t>
                  </w:r>
                  <w:r>
                    <w:rPr>
                      <w:rFonts w:ascii="Calibri" w:hAnsi="Calibri"/>
                      <w:color w:val="948A54"/>
                      <w:sz w:val="22"/>
                      <w:szCs w:val="22"/>
                    </w:rPr>
                    <w:t xml:space="preserve">2nd Round of Reviews: August 30th, 2017 </w:t>
                  </w:r>
                </w:p>
                <w:p w:rsidR="00CC3A83" w:rsidRDefault="00CC3A83">
                  <w:pPr>
                    <w:pStyle w:val="ListParagraph"/>
                    <w:autoSpaceDE w:val="0"/>
                    <w:autoSpaceDN w:val="0"/>
                    <w:ind w:left="360" w:hanging="360"/>
                    <w:rPr>
                      <w:rFonts w:ascii="Calibri" w:hAnsi="Calibri"/>
                      <w:color w:val="948A54"/>
                      <w:sz w:val="22"/>
                      <w:szCs w:val="22"/>
                    </w:rPr>
                  </w:pPr>
                  <w:r>
                    <w:rPr>
                      <w:rFonts w:ascii="Symbol" w:hAnsi="Symbol"/>
                      <w:color w:val="948A54"/>
                      <w:sz w:val="22"/>
                      <w:szCs w:val="22"/>
                    </w:rPr>
                    <w:t></w:t>
                  </w:r>
                  <w:r>
                    <w:rPr>
                      <w:color w:val="948A54"/>
                      <w:sz w:val="14"/>
                      <w:szCs w:val="14"/>
                    </w:rPr>
                    <w:t xml:space="preserve">         </w:t>
                  </w:r>
                  <w:r>
                    <w:rPr>
                      <w:rFonts w:ascii="Calibri" w:hAnsi="Calibri"/>
                      <w:color w:val="948A54"/>
                      <w:sz w:val="22"/>
                      <w:szCs w:val="22"/>
                    </w:rPr>
                    <w:t xml:space="preserve">Authors Revised Versions: Sept. 30th, 2017 </w:t>
                  </w:r>
                </w:p>
                <w:p w:rsidR="00CC3A83" w:rsidRDefault="00CC3A83">
                  <w:pPr>
                    <w:pStyle w:val="ListParagraph"/>
                    <w:autoSpaceDE w:val="0"/>
                    <w:autoSpaceDN w:val="0"/>
                    <w:ind w:left="360" w:hanging="360"/>
                    <w:rPr>
                      <w:rFonts w:ascii="Calibri" w:hAnsi="Calibri"/>
                      <w:color w:val="948A54"/>
                      <w:sz w:val="22"/>
                      <w:szCs w:val="22"/>
                    </w:rPr>
                  </w:pPr>
                  <w:r>
                    <w:rPr>
                      <w:rFonts w:ascii="Symbol" w:hAnsi="Symbol"/>
                      <w:color w:val="948A54"/>
                      <w:sz w:val="22"/>
                      <w:szCs w:val="22"/>
                    </w:rPr>
                    <w:t></w:t>
                  </w:r>
                  <w:r>
                    <w:rPr>
                      <w:color w:val="948A54"/>
                      <w:sz w:val="14"/>
                      <w:szCs w:val="14"/>
                    </w:rPr>
                    <w:t xml:space="preserve">         </w:t>
                  </w:r>
                  <w:r>
                    <w:rPr>
                      <w:rFonts w:ascii="Calibri" w:hAnsi="Calibri"/>
                      <w:color w:val="948A54"/>
                      <w:sz w:val="22"/>
                      <w:szCs w:val="22"/>
                    </w:rPr>
                    <w:t xml:space="preserve">Expected Decision: Mid October, 2017 </w:t>
                  </w:r>
                </w:p>
                <w:p w:rsidR="00CC3A83" w:rsidRDefault="00CC3A83">
                  <w:pPr>
                    <w:pStyle w:val="ListParagraph"/>
                    <w:ind w:left="360" w:hanging="360"/>
                    <w:rPr>
                      <w:color w:val="948A54"/>
                    </w:rPr>
                  </w:pPr>
                  <w:r>
                    <w:rPr>
                      <w:rFonts w:ascii="Symbol" w:hAnsi="Symbol"/>
                      <w:color w:val="948A54"/>
                    </w:rPr>
                    <w:t></w:t>
                  </w:r>
                  <w:r>
                    <w:rPr>
                      <w:color w:val="948A54"/>
                      <w:sz w:val="14"/>
                      <w:szCs w:val="14"/>
                    </w:rPr>
                    <w:t xml:space="preserve">         </w:t>
                  </w:r>
                  <w:r>
                    <w:rPr>
                      <w:rFonts w:ascii="Calibri" w:hAnsi="Calibri"/>
                      <w:color w:val="948A54"/>
                      <w:sz w:val="22"/>
                      <w:szCs w:val="22"/>
                    </w:rPr>
                    <w:t>Expected Publication: Nov./Dec., 2017</w:t>
                  </w:r>
                </w:p>
                <w:p w:rsidR="00CC3A83" w:rsidRDefault="00CC3A83">
                  <w:pPr>
                    <w:spacing w:after="0" w:line="240" w:lineRule="auto"/>
                    <w:rPr>
                      <w:color w:val="948A54"/>
                    </w:rPr>
                  </w:pPr>
                </w:p>
              </w:tc>
            </w:tr>
            <w:tr w:rsidR="00CC3A83">
              <w:trPr>
                <w:trHeight w:val="449"/>
              </w:trPr>
              <w:tc>
                <w:tcPr>
                  <w:tcW w:w="11250" w:type="dxa"/>
                  <w:gridSpan w:val="3"/>
                  <w:tcMar>
                    <w:top w:w="0" w:type="dxa"/>
                    <w:left w:w="108" w:type="dxa"/>
                    <w:bottom w:w="0" w:type="dxa"/>
                    <w:right w:w="108" w:type="dxa"/>
                  </w:tcMar>
                </w:tcPr>
                <w:p w:rsidR="00CC3A83" w:rsidRDefault="00CC3A83">
                  <w:pPr>
                    <w:spacing w:after="0" w:line="240" w:lineRule="auto"/>
                    <w:rPr>
                      <w:b/>
                      <w:bCs/>
                      <w:sz w:val="28"/>
                      <w:szCs w:val="28"/>
                    </w:rPr>
                  </w:pPr>
                </w:p>
              </w:tc>
            </w:tr>
            <w:tr w:rsidR="00CC3A83">
              <w:trPr>
                <w:trHeight w:val="449"/>
              </w:trPr>
              <w:tc>
                <w:tcPr>
                  <w:tcW w:w="1125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CC3A83" w:rsidRDefault="00CC3A83">
                  <w:pPr>
                    <w:spacing w:after="0" w:line="240" w:lineRule="auto"/>
                    <w:rPr>
                      <w:b/>
                      <w:bCs/>
                      <w:color w:val="000000"/>
                      <w:sz w:val="28"/>
                      <w:szCs w:val="28"/>
                    </w:rPr>
                  </w:pPr>
                  <w:r>
                    <w:rPr>
                      <w:b/>
                      <w:bCs/>
                      <w:sz w:val="28"/>
                      <w:szCs w:val="28"/>
                    </w:rPr>
                    <w:t>We welcome all our members to contribute information/announcements to the TCMC Newsletter.</w:t>
                  </w:r>
                </w:p>
              </w:tc>
            </w:tr>
            <w:tr w:rsidR="00CC3A83">
              <w:trPr>
                <w:trHeight w:val="944"/>
              </w:trPr>
              <w:tc>
                <w:tcPr>
                  <w:tcW w:w="5851" w:type="dxa"/>
                  <w:shd w:val="clear" w:color="auto" w:fill="F2F2F2"/>
                  <w:tcMar>
                    <w:top w:w="0" w:type="dxa"/>
                    <w:left w:w="108" w:type="dxa"/>
                    <w:bottom w:w="0" w:type="dxa"/>
                    <w:right w:w="108" w:type="dxa"/>
                  </w:tcMar>
                  <w:hideMark/>
                </w:tcPr>
                <w:p w:rsidR="00CC3A83" w:rsidRDefault="00CC3A83">
                  <w:pPr>
                    <w:spacing w:after="280" w:line="240" w:lineRule="auto"/>
                    <w:rPr>
                      <w:b/>
                      <w:bCs/>
                      <w:sz w:val="28"/>
                      <w:szCs w:val="28"/>
                    </w:rPr>
                  </w:pPr>
                  <w:r>
                    <w:rPr>
                      <w:rStyle w:val="Strong"/>
                    </w:rPr>
                    <w:t>Chair</w:t>
                  </w:r>
                  <w:r>
                    <w:br/>
                  </w:r>
                  <w:r>
                    <w:rPr>
                      <w:rStyle w:val="Strong"/>
                    </w:rPr>
                    <w:t>Dr. Mei-Ling Shyu </w:t>
                  </w:r>
                  <w:r>
                    <w:br/>
                    <w:t>University of Miami</w:t>
                  </w:r>
                </w:p>
              </w:tc>
              <w:tc>
                <w:tcPr>
                  <w:tcW w:w="5399" w:type="dxa"/>
                  <w:gridSpan w:val="2"/>
                  <w:shd w:val="clear" w:color="auto" w:fill="F2F2F2"/>
                  <w:tcMar>
                    <w:top w:w="0" w:type="dxa"/>
                    <w:left w:w="108" w:type="dxa"/>
                    <w:bottom w:w="0" w:type="dxa"/>
                    <w:right w:w="108" w:type="dxa"/>
                  </w:tcMar>
                  <w:hideMark/>
                </w:tcPr>
                <w:p w:rsidR="00CC3A83" w:rsidRDefault="00CC3A83">
                  <w:pPr>
                    <w:spacing w:after="0" w:line="240" w:lineRule="auto"/>
                    <w:rPr>
                      <w:b/>
                      <w:bCs/>
                      <w:sz w:val="28"/>
                      <w:szCs w:val="28"/>
                    </w:rPr>
                  </w:pPr>
                  <w:r>
                    <w:rPr>
                      <w:rStyle w:val="Strong"/>
                    </w:rPr>
                    <w:t>Secretary and Newsletter Editor</w:t>
                  </w:r>
                  <w:r>
                    <w:br/>
                  </w:r>
                  <w:r>
                    <w:rPr>
                      <w:rStyle w:val="Strong"/>
                    </w:rPr>
                    <w:t>Dr. Min Chen </w:t>
                  </w:r>
                  <w:r>
                    <w:br/>
                    <w:t>University of Washington Bothell</w:t>
                  </w:r>
                </w:p>
              </w:tc>
            </w:tr>
            <w:tr w:rsidR="00CC3A83">
              <w:tc>
                <w:tcPr>
                  <w:tcW w:w="4710" w:type="dxa"/>
                  <w:vAlign w:val="center"/>
                  <w:hideMark/>
                </w:tcPr>
                <w:p w:rsidR="00CC3A83" w:rsidRDefault="00CC3A83">
                  <w:pPr>
                    <w:rPr>
                      <w:b/>
                      <w:bCs/>
                      <w:sz w:val="28"/>
                      <w:szCs w:val="28"/>
                    </w:rPr>
                  </w:pPr>
                </w:p>
              </w:tc>
              <w:tc>
                <w:tcPr>
                  <w:tcW w:w="45" w:type="dxa"/>
                  <w:vAlign w:val="center"/>
                  <w:hideMark/>
                </w:tcPr>
                <w:p w:rsidR="00CC3A83" w:rsidRDefault="00CC3A83">
                  <w:pPr>
                    <w:spacing w:after="0" w:line="240" w:lineRule="auto"/>
                    <w:rPr>
                      <w:rFonts w:ascii="Times New Roman" w:eastAsia="Times New Roman" w:hAnsi="Times New Roman"/>
                      <w:sz w:val="20"/>
                      <w:szCs w:val="20"/>
                    </w:rPr>
                  </w:pPr>
                </w:p>
              </w:tc>
              <w:tc>
                <w:tcPr>
                  <w:tcW w:w="5070" w:type="dxa"/>
                  <w:vAlign w:val="center"/>
                  <w:hideMark/>
                </w:tcPr>
                <w:p w:rsidR="00CC3A83" w:rsidRDefault="00CC3A83">
                  <w:pPr>
                    <w:spacing w:after="0" w:line="240" w:lineRule="auto"/>
                    <w:rPr>
                      <w:rFonts w:ascii="Times New Roman" w:eastAsia="Times New Roman" w:hAnsi="Times New Roman"/>
                      <w:sz w:val="20"/>
                      <w:szCs w:val="20"/>
                    </w:rPr>
                  </w:pPr>
                </w:p>
              </w:tc>
            </w:tr>
          </w:tbl>
          <w:p w:rsidR="00CC3A83" w:rsidRDefault="00CC3A83">
            <w:pPr>
              <w:jc w:val="center"/>
              <w:rPr>
                <w:sz w:val="24"/>
                <w:szCs w:val="24"/>
              </w:rPr>
            </w:pPr>
          </w:p>
          <w:p w:rsidR="00CC3A83" w:rsidRDefault="00CC3A83">
            <w:pPr>
              <w:rPr>
                <w:sz w:val="24"/>
                <w:szCs w:val="24"/>
              </w:rPr>
            </w:pPr>
          </w:p>
        </w:tc>
      </w:tr>
      <w:tr w:rsidR="00CC3A83" w:rsidTr="00CC3A83">
        <w:trPr>
          <w:tblCellSpacing w:w="0" w:type="dxa"/>
          <w:jc w:val="center"/>
        </w:trPr>
        <w:tc>
          <w:tcPr>
            <w:tcW w:w="5000" w:type="pct"/>
            <w:vAlign w:val="center"/>
          </w:tcPr>
          <w:p w:rsidR="00CC3A83" w:rsidRDefault="00CC3A83">
            <w:pPr>
              <w:spacing w:after="120"/>
              <w:rPr>
                <w:color w:val="000000"/>
                <w:sz w:val="28"/>
                <w:szCs w:val="28"/>
              </w:rPr>
            </w:pPr>
          </w:p>
        </w:tc>
      </w:tr>
    </w:tbl>
    <w:p w:rsidR="00CC3A83" w:rsidRDefault="00CC3A83" w:rsidP="00CC3A83"/>
    <w:p w:rsidR="00882107" w:rsidRDefault="00882107">
      <w:bookmarkStart w:id="0" w:name="_GoBack"/>
      <w:bookmarkEnd w:id="0"/>
    </w:p>
    <w:sectPr w:rsidR="00882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83"/>
    <w:rsid w:val="00882107"/>
    <w:rsid w:val="00CC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A5A80-F1D4-417F-8BC9-251153AF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83"/>
    <w:pPr>
      <w:spacing w:after="200" w:line="276" w:lineRule="auto"/>
    </w:pPr>
    <w:rPr>
      <w:rFonts w:ascii="Calibri" w:hAnsi="Calibri" w:cs="Times New Roman"/>
    </w:rPr>
  </w:style>
  <w:style w:type="paragraph" w:styleId="Heading2">
    <w:name w:val="heading 2"/>
    <w:basedOn w:val="Normal"/>
    <w:link w:val="Heading2Char"/>
    <w:uiPriority w:val="9"/>
    <w:semiHidden/>
    <w:unhideWhenUsed/>
    <w:qFormat/>
    <w:rsid w:val="00CC3A83"/>
    <w:pPr>
      <w:spacing w:after="0" w:line="240" w:lineRule="auto"/>
      <w:outlineLvl w:val="1"/>
    </w:pPr>
    <w:rPr>
      <w:rFonts w:ascii="Times New Roman" w:hAnsi="Times New Roman"/>
      <w:b/>
      <w:bCs/>
      <w:sz w:val="36"/>
      <w:szCs w:val="36"/>
    </w:rPr>
  </w:style>
  <w:style w:type="paragraph" w:styleId="Heading4">
    <w:name w:val="heading 4"/>
    <w:basedOn w:val="Normal"/>
    <w:link w:val="Heading4Char"/>
    <w:uiPriority w:val="9"/>
    <w:semiHidden/>
    <w:unhideWhenUsed/>
    <w:qFormat/>
    <w:rsid w:val="00CC3A83"/>
    <w:pPr>
      <w:keepNext/>
      <w:spacing w:before="200" w:after="0" w:line="240" w:lineRule="auto"/>
      <w:outlineLvl w:val="3"/>
    </w:pPr>
    <w:rPr>
      <w:rFonts w:ascii="Cambria" w:hAnsi="Cambria"/>
      <w:b/>
      <w:bCs/>
      <w:i/>
      <w:iCs/>
      <w:color w:val="4F81BD"/>
      <w:sz w:val="24"/>
      <w:szCs w:val="24"/>
    </w:rPr>
  </w:style>
  <w:style w:type="paragraph" w:styleId="Heading5">
    <w:name w:val="heading 5"/>
    <w:basedOn w:val="Normal"/>
    <w:link w:val="Heading5Char"/>
    <w:uiPriority w:val="9"/>
    <w:semiHidden/>
    <w:unhideWhenUsed/>
    <w:qFormat/>
    <w:rsid w:val="00CC3A83"/>
    <w:pPr>
      <w:keepNext/>
      <w:spacing w:before="40" w:after="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3A83"/>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CC3A83"/>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CC3A83"/>
    <w:rPr>
      <w:rFonts w:ascii="Cambria" w:hAnsi="Cambria" w:cs="Times New Roman"/>
      <w:color w:val="365F91"/>
    </w:rPr>
  </w:style>
  <w:style w:type="character" w:styleId="Hyperlink">
    <w:name w:val="Hyperlink"/>
    <w:basedOn w:val="DefaultParagraphFont"/>
    <w:uiPriority w:val="99"/>
    <w:semiHidden/>
    <w:unhideWhenUsed/>
    <w:rsid w:val="00CC3A83"/>
    <w:rPr>
      <w:color w:val="0000FF"/>
      <w:u w:val="single"/>
    </w:rPr>
  </w:style>
  <w:style w:type="paragraph" w:styleId="NormalWeb">
    <w:name w:val="Normal (Web)"/>
    <w:basedOn w:val="Normal"/>
    <w:uiPriority w:val="99"/>
    <w:semiHidden/>
    <w:unhideWhenUsed/>
    <w:rsid w:val="00CC3A83"/>
    <w:pPr>
      <w:spacing w:after="0" w:line="240" w:lineRule="auto"/>
    </w:pPr>
    <w:rPr>
      <w:rFonts w:ascii="Times New Roman" w:hAnsi="Times New Roman"/>
      <w:sz w:val="24"/>
      <w:szCs w:val="24"/>
    </w:rPr>
  </w:style>
  <w:style w:type="paragraph" w:styleId="ListParagraph">
    <w:name w:val="List Paragraph"/>
    <w:basedOn w:val="Normal"/>
    <w:uiPriority w:val="34"/>
    <w:qFormat/>
    <w:rsid w:val="00CC3A83"/>
    <w:pPr>
      <w:spacing w:after="0" w:line="240" w:lineRule="auto"/>
      <w:ind w:left="720"/>
      <w:contextualSpacing/>
    </w:pPr>
    <w:rPr>
      <w:rFonts w:ascii="Times New Roman" w:hAnsi="Times New Roman"/>
      <w:sz w:val="24"/>
      <w:szCs w:val="24"/>
    </w:rPr>
  </w:style>
  <w:style w:type="character" w:styleId="Strong">
    <w:name w:val="Strong"/>
    <w:basedOn w:val="DefaultParagraphFont"/>
    <w:uiPriority w:val="22"/>
    <w:qFormat/>
    <w:rsid w:val="00CC3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5F67.5D9FA720" TargetMode="External"/><Relationship Id="rId13" Type="http://schemas.openxmlformats.org/officeDocument/2006/relationships/hyperlink" Target="http://bigmm.eecs.uci.edu/call_papers.html"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image" Target="media/image6.png"/><Relationship Id="rId7" Type="http://schemas.openxmlformats.org/officeDocument/2006/relationships/image" Target="media/image2.gif"/><Relationship Id="rId12" Type="http://schemas.openxmlformats.org/officeDocument/2006/relationships/image" Target="cid:image006.jpg@01D24A57.F02459D0" TargetMode="External"/><Relationship Id="rId17" Type="http://schemas.openxmlformats.org/officeDocument/2006/relationships/hyperlink" Target="http://mclab.citi.sinica.edu.tw/open/mmc201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cme2017.org/call-for-papers/" TargetMode="External"/><Relationship Id="rId20" Type="http://schemas.openxmlformats.org/officeDocument/2006/relationships/hyperlink" Target="http://cbmi2017.micc.unifi.it" TargetMode="External"/><Relationship Id="rId1" Type="http://schemas.openxmlformats.org/officeDocument/2006/relationships/styles" Target="styles.xml"/><Relationship Id="rId6" Type="http://schemas.openxmlformats.org/officeDocument/2006/relationships/hyperlink" Target="https://www.computer.org/web/tcmc/newsletter"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image" Target="cid:image001.png@01D24A57.F02459D0" TargetMode="External"/><Relationship Id="rId15" Type="http://schemas.openxmlformats.org/officeDocument/2006/relationships/image" Target="cid:image007.png@01D24A57.F02459D0" TargetMode="External"/><Relationship Id="rId23" Type="http://schemas.openxmlformats.org/officeDocument/2006/relationships/hyperlink" Target="http://tinyurl.com/zd4cgtf" TargetMode="External"/><Relationship Id="rId10" Type="http://schemas.openxmlformats.org/officeDocument/2006/relationships/hyperlink" Target="https://www.computer.org/web/tcmc/join-tcmc" TargetMode="External"/><Relationship Id="rId19" Type="http://schemas.openxmlformats.org/officeDocument/2006/relationships/image" Target="cid:image005.jpg@01D24A59.5E611090" TargetMode="External"/><Relationship Id="rId4" Type="http://schemas.openxmlformats.org/officeDocument/2006/relationships/image" Target="media/image1.png"/><Relationship Id="rId9" Type="http://schemas.openxmlformats.org/officeDocument/2006/relationships/hyperlink" Target="https://www.computer.org/web/tcmc/index" TargetMode="External"/><Relationship Id="rId14" Type="http://schemas.openxmlformats.org/officeDocument/2006/relationships/image" Target="media/image4.png"/><Relationship Id="rId22" Type="http://schemas.openxmlformats.org/officeDocument/2006/relationships/image" Target="cid:image009.png@01D24A57.F02459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1</cp:revision>
  <dcterms:created xsi:type="dcterms:W3CDTF">2017-03-22T00:08:00Z</dcterms:created>
  <dcterms:modified xsi:type="dcterms:W3CDTF">2017-03-22T00:09:00Z</dcterms:modified>
</cp:coreProperties>
</file>